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pPr>
    </w:p>
    <w:p>
      <w:pPr>
        <w:pStyle w:val="6"/>
        <w:widowControl/>
        <w:shd w:val="clear" w:color="auto" w:fill="FFFFFF"/>
        <w:spacing w:before="0" w:beforeAutospacing="0" w:after="0" w:afterAutospacing="0" w:line="520" w:lineRule="exact"/>
        <w:jc w:val="center"/>
        <w:rPr>
          <w:rFonts w:hint="eastAsia" w:ascii="仿宋_GB2312" w:hAnsi="仿宋_GB2312" w:eastAsia="仿宋_GB2312" w:cs="仿宋_GB2312"/>
          <w:b w:val="0"/>
          <w:bCs/>
          <w:color w:val="000000"/>
          <w:kern w:val="0"/>
          <w:sz w:val="32"/>
          <w:szCs w:val="32"/>
          <w:shd w:val="clear" w:color="auto" w:fill="FFFFFF"/>
          <w:lang w:bidi="ar"/>
        </w:rPr>
      </w:pPr>
      <w:r>
        <w:rPr>
          <w:rFonts w:hint="eastAsia" w:ascii="仿宋_GB2312" w:hAnsi="仿宋_GB2312" w:eastAsia="仿宋_GB2312" w:cs="仿宋_GB2312"/>
          <w:b w:val="0"/>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color w:val="000000"/>
          <w:kern w:val="0"/>
          <w:sz w:val="32"/>
          <w:szCs w:val="32"/>
          <w:shd w:val="clear" w:color="auto" w:fill="FFFFFF"/>
          <w:lang w:bidi="ar"/>
        </w:rPr>
        <w:t>常环建〔2021〕</w:t>
      </w:r>
      <w:r>
        <w:rPr>
          <w:rFonts w:hint="eastAsia" w:ascii="仿宋_GB2312" w:hAnsi="仿宋_GB2312" w:eastAsia="仿宋_GB2312" w:cs="仿宋_GB2312"/>
          <w:b w:val="0"/>
          <w:bCs/>
          <w:color w:val="000000"/>
          <w:kern w:val="0"/>
          <w:sz w:val="32"/>
          <w:szCs w:val="32"/>
          <w:shd w:val="clear" w:color="auto" w:fill="FFFFFF"/>
          <w:lang w:val="en-US" w:eastAsia="zh-CN" w:bidi="ar"/>
        </w:rPr>
        <w:t>1106</w:t>
      </w:r>
      <w:r>
        <w:rPr>
          <w:rFonts w:hint="eastAsia" w:ascii="仿宋_GB2312" w:hAnsi="仿宋_GB2312" w:eastAsia="仿宋_GB2312" w:cs="仿宋_GB2312"/>
          <w:b w:val="0"/>
          <w:bCs/>
          <w:color w:val="000000"/>
          <w:kern w:val="0"/>
          <w:sz w:val="32"/>
          <w:szCs w:val="32"/>
          <w:shd w:val="clear" w:color="auto" w:fill="FFFFFF"/>
          <w:lang w:bidi="ar"/>
        </w:rPr>
        <w:t>号</w:t>
      </w: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b w:val="0"/>
          <w:bCs w:val="0"/>
          <w:kern w:val="2"/>
          <w:sz w:val="44"/>
          <w:szCs w:val="44"/>
          <w:lang w:val="en-US" w:eastAsia="zh-CN" w:bidi="ar"/>
        </w:rPr>
        <w:t>常德市生态环境局</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方正小标宋简体" w:eastAsia="方正小标宋简体" w:cs="方正小标宋简体"/>
          <w:b w:val="0"/>
          <w:kern w:val="2"/>
          <w:sz w:val="44"/>
          <w:szCs w:val="44"/>
        </w:rPr>
      </w:pPr>
      <w:r>
        <w:rPr>
          <w:rFonts w:ascii="方正小标宋简体" w:hAnsi="方正小标宋简体" w:eastAsia="方正小标宋简体" w:cs="方正小标宋简体"/>
          <w:b w:val="0"/>
          <w:kern w:val="2"/>
          <w:sz w:val="44"/>
          <w:szCs w:val="44"/>
        </w:rPr>
        <w:t>关于常德市振华沥青混凝土有限公司</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方正小标宋简体" w:eastAsia="方正小标宋简体" w:cs="方正小标宋简体"/>
          <w:b w:val="0"/>
          <w:kern w:val="2"/>
          <w:sz w:val="44"/>
          <w:szCs w:val="44"/>
        </w:rPr>
      </w:pPr>
      <w:r>
        <w:rPr>
          <w:rFonts w:ascii="方正小标宋简体" w:hAnsi="方正小标宋简体" w:eastAsia="方正小标宋简体" w:cs="方正小标宋简体"/>
          <w:b w:val="0"/>
          <w:kern w:val="2"/>
          <w:sz w:val="44"/>
          <w:szCs w:val="44"/>
        </w:rPr>
        <w:t>碎石及建筑垃圾资源化处理生产线建设项目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方正小标宋简体" w:eastAsia="方正小标宋简体" w:cs="方正小标宋简体"/>
          <w:b w:val="0"/>
          <w:kern w:val="2"/>
          <w:sz w:val="44"/>
          <w:szCs w:val="44"/>
        </w:rPr>
      </w:pPr>
      <w:r>
        <w:rPr>
          <w:rFonts w:ascii="方正小标宋简体" w:hAnsi="方正小标宋简体" w:eastAsia="方正小标宋简体" w:cs="方正小标宋简体"/>
          <w:b w:val="0"/>
          <w:kern w:val="2"/>
          <w:sz w:val="44"/>
          <w:szCs w:val="44"/>
        </w:rPr>
        <w:t>环境影响报告表的批复</w:t>
      </w:r>
    </w:p>
    <w:p>
      <w:pPr>
        <w:rPr>
          <w:rFonts w:hint="default"/>
        </w:rPr>
      </w:pPr>
    </w:p>
    <w:p>
      <w:pPr>
        <w:keepNext w:val="0"/>
        <w:keepLines w:val="0"/>
        <w:pageBreakBefore w:val="0"/>
        <w:widowControl w:val="0"/>
        <w:tabs>
          <w:tab w:val="left" w:pos="2006"/>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常德市振华沥青混凝土有限公司：</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color w:val="000000"/>
          <w:kern w:val="0"/>
          <w:sz w:val="32"/>
          <w:szCs w:val="32"/>
          <w:shd w:val="clear" w:color="auto" w:fill="FFFFFF"/>
          <w:lang w:bidi="ar"/>
        </w:rPr>
      </w:pPr>
      <w:r>
        <w:rPr>
          <w:rFonts w:hint="eastAsia" w:ascii="仿宋_GB2312" w:hAnsi="仿宋_GB2312" w:eastAsia="仿宋_GB2312" w:cs="仿宋_GB2312"/>
          <w:b w:val="0"/>
          <w:color w:val="000000"/>
          <w:kern w:val="0"/>
          <w:sz w:val="32"/>
          <w:szCs w:val="32"/>
          <w:shd w:val="clear" w:color="auto" w:fill="FFFFFF"/>
          <w:lang w:bidi="ar"/>
        </w:rPr>
        <w:t>你公司《碎石及建筑垃圾资源化处理生产线建设项目环境影响报告表》（以下简称报告表）等相关材料收悉。根据环评报告结论、专家审查意见、公示情况，经研究，现批复如下：</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color w:val="000000"/>
          <w:kern w:val="0"/>
          <w:sz w:val="32"/>
          <w:szCs w:val="32"/>
          <w:shd w:val="clear" w:color="auto" w:fill="FFFFFF"/>
          <w:lang w:eastAsia="zh-CN" w:bidi="ar"/>
        </w:rPr>
      </w:pPr>
      <w:r>
        <w:rPr>
          <w:rFonts w:hint="eastAsia" w:ascii="仿宋_GB2312" w:hAnsi="仿宋_GB2312" w:eastAsia="仿宋_GB2312" w:cs="仿宋_GB2312"/>
          <w:b w:val="0"/>
          <w:color w:val="000000"/>
          <w:kern w:val="0"/>
          <w:sz w:val="32"/>
          <w:szCs w:val="32"/>
          <w:shd w:val="clear" w:color="auto" w:fill="FFFFFF"/>
          <w:lang w:bidi="ar"/>
        </w:rPr>
        <w:t>一、项目位于湖南省常德市鼎城区石板滩镇田家坪村九组，占地面积</w:t>
      </w:r>
      <w:r>
        <w:rPr>
          <w:rFonts w:hint="eastAsia" w:ascii="仿宋_GB2312" w:hAnsi="仿宋_GB2312" w:eastAsia="仿宋_GB2312" w:cs="仿宋_GB2312"/>
          <w:b w:val="0"/>
          <w:color w:val="000000"/>
          <w:kern w:val="0"/>
          <w:sz w:val="32"/>
          <w:szCs w:val="32"/>
          <w:shd w:val="clear" w:color="auto" w:fill="FFFFFF"/>
          <w:lang w:val="en-US" w:eastAsia="zh-CN" w:bidi="ar"/>
        </w:rPr>
        <w:t>21391.6</w:t>
      </w:r>
      <w:r>
        <w:rPr>
          <w:rFonts w:hint="eastAsia" w:ascii="仿宋_GB2312" w:hAnsi="仿宋_GB2312" w:eastAsia="仿宋_GB2312" w:cs="仿宋_GB2312"/>
          <w:b w:val="0"/>
          <w:color w:val="000000"/>
          <w:kern w:val="0"/>
          <w:sz w:val="32"/>
          <w:szCs w:val="32"/>
          <w:shd w:val="clear" w:color="auto" w:fill="FFFFFF"/>
          <w:lang w:eastAsia="zh-CN" w:bidi="ar"/>
        </w:rPr>
        <w:t>平方米</w:t>
      </w:r>
      <w:r>
        <w:rPr>
          <w:rFonts w:hint="eastAsia" w:ascii="仿宋_GB2312" w:hAnsi="仿宋_GB2312" w:eastAsia="仿宋_GB2312" w:cs="仿宋_GB2312"/>
          <w:b w:val="0"/>
          <w:color w:val="000000"/>
          <w:kern w:val="0"/>
          <w:sz w:val="32"/>
          <w:szCs w:val="32"/>
          <w:shd w:val="clear" w:color="auto" w:fill="FFFFFF"/>
          <w:lang w:bidi="ar"/>
        </w:rPr>
        <w:t>。项目总投资2000万元，其中环保投资150万元，环保投资占比7.5%。</w:t>
      </w:r>
      <w:r>
        <w:rPr>
          <w:rFonts w:hint="eastAsia" w:ascii="仿宋_GB2312" w:hAnsi="仿宋_GB2312" w:eastAsia="仿宋_GB2312" w:cs="仿宋_GB2312"/>
          <w:b w:val="0"/>
          <w:color w:val="000000"/>
          <w:kern w:val="0"/>
          <w:sz w:val="32"/>
          <w:szCs w:val="32"/>
          <w:shd w:val="clear" w:color="auto" w:fill="FFFFFF"/>
          <w:lang w:eastAsia="zh-CN" w:bidi="ar"/>
        </w:rPr>
        <w:t>本次改</w:t>
      </w:r>
      <w:r>
        <w:rPr>
          <w:rFonts w:hint="eastAsia" w:ascii="仿宋_GB2312" w:hAnsi="仿宋_GB2312" w:eastAsia="仿宋_GB2312" w:cs="仿宋_GB2312"/>
          <w:b w:val="0"/>
          <w:color w:val="000000"/>
          <w:kern w:val="0"/>
          <w:sz w:val="32"/>
          <w:szCs w:val="32"/>
          <w:shd w:val="clear" w:color="auto" w:fill="FFFFFF"/>
          <w:lang w:val="en-US" w:eastAsia="zh-CN" w:bidi="ar"/>
        </w:rPr>
        <w:t>扩建</w:t>
      </w:r>
      <w:r>
        <w:rPr>
          <w:rFonts w:hint="eastAsia" w:ascii="仿宋_GB2312" w:hAnsi="仿宋_GB2312" w:eastAsia="仿宋_GB2312" w:cs="仿宋_GB2312"/>
          <w:b w:val="0"/>
          <w:color w:val="000000"/>
          <w:kern w:val="0"/>
          <w:sz w:val="32"/>
          <w:szCs w:val="32"/>
          <w:shd w:val="clear" w:color="auto" w:fill="FFFFFF"/>
          <w:lang w:bidi="ar"/>
        </w:rPr>
        <w:t>主要内容包括沥青混凝土搅拌楼新增</w:t>
      </w:r>
      <w:r>
        <w:rPr>
          <w:rFonts w:hint="eastAsia" w:ascii="仿宋_GB2312" w:hAnsi="仿宋_GB2312" w:eastAsia="仿宋_GB2312" w:cs="仿宋_GB2312"/>
          <w:b w:val="0"/>
          <w:color w:val="000000"/>
          <w:kern w:val="0"/>
          <w:sz w:val="32"/>
          <w:szCs w:val="32"/>
          <w:shd w:val="clear" w:color="auto" w:fill="FFFFFF"/>
          <w:lang w:eastAsia="zh-CN" w:bidi="ar"/>
        </w:rPr>
        <w:t>厂</w:t>
      </w:r>
      <w:r>
        <w:rPr>
          <w:rFonts w:hint="eastAsia" w:ascii="仿宋_GB2312" w:hAnsi="仿宋_GB2312" w:eastAsia="仿宋_GB2312" w:cs="仿宋_GB2312"/>
          <w:b w:val="0"/>
          <w:color w:val="000000"/>
          <w:kern w:val="0"/>
          <w:sz w:val="32"/>
          <w:szCs w:val="32"/>
          <w:shd w:val="clear" w:color="auto" w:fill="FFFFFF"/>
          <w:lang w:bidi="ar"/>
        </w:rPr>
        <w:t>拌热再生设备、新建水稳层搅拌楼、再生料场、洗车平台等。</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color w:val="000000"/>
          <w:kern w:val="0"/>
          <w:sz w:val="32"/>
          <w:szCs w:val="32"/>
          <w:shd w:val="clear" w:color="auto" w:fill="FFFFFF"/>
          <w:lang w:bidi="ar"/>
        </w:rPr>
      </w:pPr>
      <w:r>
        <w:rPr>
          <w:rFonts w:hint="eastAsia" w:ascii="仿宋_GB2312" w:hAnsi="仿宋_GB2312" w:eastAsia="仿宋_GB2312" w:cs="仿宋_GB2312"/>
          <w:b w:val="0"/>
          <w:color w:val="000000"/>
          <w:kern w:val="0"/>
          <w:sz w:val="32"/>
          <w:szCs w:val="32"/>
          <w:shd w:val="clear" w:color="auto" w:fill="FFFFFF"/>
          <w:lang w:bidi="ar"/>
        </w:rPr>
        <w:t>二、项目建设符合国家产业政策和常德高新区总体规划。落实《报告表》及评审意见提出的有关环保措施后，从环境保护的角度分析，项目建设可行。同意你单位按申报内容和规模进行建设。</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color w:val="000000"/>
          <w:kern w:val="0"/>
          <w:sz w:val="32"/>
          <w:szCs w:val="32"/>
          <w:shd w:val="clear" w:color="auto" w:fill="FFFFFF"/>
          <w:lang w:bidi="ar"/>
        </w:rPr>
      </w:pPr>
      <w:r>
        <w:rPr>
          <w:rFonts w:hint="eastAsia" w:ascii="仿宋_GB2312" w:hAnsi="仿宋_GB2312" w:eastAsia="仿宋_GB2312" w:cs="仿宋_GB2312"/>
          <w:b w:val="0"/>
          <w:color w:val="000000"/>
          <w:kern w:val="0"/>
          <w:sz w:val="32"/>
          <w:szCs w:val="32"/>
          <w:shd w:val="clear" w:color="auto" w:fill="FFFFFF"/>
          <w:lang w:bidi="ar"/>
        </w:rPr>
        <w:t>三、项目在运营过程中应严格执行环保“三同时”制度，着重做好以下环保工作：</w:t>
      </w:r>
    </w:p>
    <w:p>
      <w:pPr>
        <w:keepNext w:val="0"/>
        <w:keepLines w:val="0"/>
        <w:pageBreakBefore w:val="0"/>
        <w:widowControl w:val="0"/>
        <w:numPr>
          <w:ilvl w:val="0"/>
          <w:numId w:val="0"/>
        </w:numPr>
        <w:tabs>
          <w:tab w:val="left" w:pos="103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sectPr>
          <w:pgSz w:w="11906" w:h="16838"/>
          <w:pgMar w:top="2098" w:right="1474" w:bottom="1985" w:left="1588" w:header="851" w:footer="992" w:gutter="0"/>
          <w:pgNumType w:fmt="decimal"/>
          <w:cols w:space="425" w:num="1"/>
          <w:docGrid w:type="lines" w:linePitch="312" w:charSpace="0"/>
        </w:sectPr>
      </w:pPr>
    </w:p>
    <w:p>
      <w:pPr>
        <w:keepNext w:val="0"/>
        <w:keepLines w:val="0"/>
        <w:pageBreakBefore w:val="0"/>
        <w:widowControl w:val="0"/>
        <w:numPr>
          <w:ilvl w:val="0"/>
          <w:numId w:val="0"/>
        </w:numPr>
        <w:tabs>
          <w:tab w:val="left" w:pos="103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做好运营期大气污染防治工作。烘干滚筒及拌热再生设备烘干废气通过管道引入原生烘干滚筒燃烧室，再通过布袋除尘器处理后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满足《常德市工业窑炉大气污染物治理设施方案》（常生环委办发[2020]4号）中要求的标准值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经15</w:t>
      </w:r>
      <w:r>
        <w:rPr>
          <w:rFonts w:hint="eastAsia" w:ascii="仿宋_GB2312" w:hAnsi="仿宋_GB2312" w:eastAsia="仿宋_GB2312" w:cs="仿宋_GB2312"/>
          <w:color w:val="000000"/>
          <w:sz w:val="32"/>
          <w:szCs w:val="32"/>
          <w:lang w:eastAsia="zh-CN"/>
        </w:rPr>
        <w:t>米</w:t>
      </w:r>
      <w:r>
        <w:rPr>
          <w:rFonts w:hint="eastAsia" w:ascii="仿宋_GB2312" w:hAnsi="仿宋_GB2312" w:eastAsia="仿宋_GB2312" w:cs="仿宋_GB2312"/>
          <w:color w:val="000000"/>
          <w:sz w:val="32"/>
          <w:szCs w:val="32"/>
        </w:rPr>
        <w:t>高排气筒排放。搅拌楼沥青烟气经等离子沥青烟气净化设施处理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达到《大气污染物综合排放标准》（GB16297-1996）表2中二级标准后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经15</w:t>
      </w:r>
      <w:r>
        <w:rPr>
          <w:rFonts w:hint="eastAsia" w:ascii="仿宋_GB2312" w:hAnsi="仿宋_GB2312" w:eastAsia="仿宋_GB2312" w:cs="仿宋_GB2312"/>
          <w:color w:val="000000"/>
          <w:sz w:val="32"/>
          <w:szCs w:val="32"/>
          <w:lang w:eastAsia="zh-CN"/>
        </w:rPr>
        <w:t>米</w:t>
      </w:r>
      <w:r>
        <w:rPr>
          <w:rFonts w:hint="eastAsia" w:ascii="仿宋_GB2312" w:hAnsi="仿宋_GB2312" w:eastAsia="仿宋_GB2312" w:cs="仿宋_GB2312"/>
          <w:color w:val="000000"/>
          <w:sz w:val="32"/>
          <w:szCs w:val="32"/>
        </w:rPr>
        <w:t>高排气筒排放。沥青罐沥青烟废气经等离子沥青烟气净化设施处理达《大气污染物综合排放标准》（GB16297-1996）表2中二级标准后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经15</w:t>
      </w:r>
      <w:r>
        <w:rPr>
          <w:rFonts w:hint="eastAsia" w:ascii="仿宋_GB2312" w:hAnsi="仿宋_GB2312" w:eastAsia="仿宋_GB2312" w:cs="仿宋_GB2312"/>
          <w:color w:val="000000"/>
          <w:sz w:val="32"/>
          <w:szCs w:val="32"/>
          <w:lang w:eastAsia="zh-CN"/>
        </w:rPr>
        <w:t>米</w:t>
      </w:r>
      <w:r>
        <w:rPr>
          <w:rFonts w:hint="eastAsia" w:ascii="仿宋_GB2312" w:hAnsi="仿宋_GB2312" w:eastAsia="仿宋_GB2312" w:cs="仿宋_GB2312"/>
          <w:color w:val="000000"/>
          <w:sz w:val="32"/>
          <w:szCs w:val="32"/>
        </w:rPr>
        <w:t>高排气筒排放。导热油炉废气通过一根</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eastAsia="zh-CN"/>
        </w:rPr>
        <w:t>米</w:t>
      </w:r>
      <w:r>
        <w:rPr>
          <w:rFonts w:hint="eastAsia" w:ascii="仿宋_GB2312" w:hAnsi="仿宋_GB2312" w:eastAsia="仿宋_GB2312" w:cs="仿宋_GB2312"/>
          <w:color w:val="000000"/>
          <w:sz w:val="32"/>
          <w:szCs w:val="32"/>
        </w:rPr>
        <w:t>高排气筒直接排放，执行《锅炉大气污染物综合排放标准》（GB13271-2014）表3中</w:t>
      </w:r>
      <w:r>
        <w:rPr>
          <w:rFonts w:hint="eastAsia" w:ascii="仿宋_GB2312" w:hAnsi="仿宋_GB2312" w:eastAsia="仿宋_GB2312" w:cs="仿宋_GB2312"/>
          <w:color w:val="000000"/>
          <w:sz w:val="32"/>
          <w:szCs w:val="32"/>
          <w:lang w:eastAsia="zh-CN"/>
        </w:rPr>
        <w:t>有</w:t>
      </w:r>
      <w:r>
        <w:rPr>
          <w:rFonts w:hint="eastAsia" w:ascii="仿宋_GB2312" w:hAnsi="仿宋_GB2312" w:eastAsia="仿宋_GB2312" w:cs="仿宋_GB2312"/>
          <w:color w:val="000000"/>
          <w:sz w:val="32"/>
          <w:szCs w:val="32"/>
        </w:rPr>
        <w:t>组织排放标准。物料输送、混合搅拌粉尘通过喷淋除尘，收集进入布袋除尘器处理后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执行《水泥工业大气污染物排放标准》（GB4915-2013）表2特别排放限值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经15</w:t>
      </w:r>
      <w:r>
        <w:rPr>
          <w:rFonts w:hint="eastAsia" w:ascii="仿宋_GB2312" w:hAnsi="仿宋_GB2312" w:eastAsia="仿宋_GB2312" w:cs="仿宋_GB2312"/>
          <w:color w:val="000000"/>
          <w:sz w:val="32"/>
          <w:szCs w:val="32"/>
          <w:lang w:eastAsia="zh-CN"/>
        </w:rPr>
        <w:t>米</w:t>
      </w:r>
      <w:r>
        <w:rPr>
          <w:rFonts w:hint="eastAsia" w:ascii="仿宋_GB2312" w:hAnsi="仿宋_GB2312" w:eastAsia="仿宋_GB2312" w:cs="仿宋_GB2312"/>
          <w:color w:val="000000"/>
          <w:sz w:val="32"/>
          <w:szCs w:val="32"/>
        </w:rPr>
        <w:t>高排气筒排放。料场及粉料仓全封闭，料场及下料处上方安装喷淋装置，骨料采用全封闭皮带输送。水泥筒仓呼吸粉尘经脉冲布袋除尘器处理后，通过封闭车间排放。再生料场粉尘全封闭，上方安装喷淋装置。建筑垃圾破碎筛分粉尘通过设备自带喷淋降尘设施处理，且在再生料场封闭料棚内进行破碎筛分，上方安装喷淋装置。无组织颗粒物执行《水泥工业大气污染物排放标准》（GB4915-2013）表2特别排放限值。</w:t>
      </w:r>
    </w:p>
    <w:p>
      <w:pPr>
        <w:keepNext w:val="0"/>
        <w:keepLines w:val="0"/>
        <w:pageBreakBefore w:val="0"/>
        <w:widowControl w:val="0"/>
        <w:numPr>
          <w:ilvl w:val="0"/>
          <w:numId w:val="0"/>
        </w:numPr>
        <w:tabs>
          <w:tab w:val="left" w:pos="103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000000"/>
          <w:kern w:val="2"/>
          <w:sz w:val="32"/>
          <w:szCs w:val="32"/>
          <w:lang w:val="en-US" w:eastAsia="zh-CN" w:bidi="ar-SA"/>
        </w:rPr>
        <w:t>2、做好运营期水污染</w:t>
      </w:r>
      <w:r>
        <w:rPr>
          <w:rFonts w:hint="eastAsia" w:ascii="仿宋_GB2312" w:hAnsi="仿宋_GB2312" w:eastAsia="仿宋_GB2312" w:cs="仿宋_GB2312"/>
          <w:color w:val="000000"/>
          <w:sz w:val="32"/>
          <w:szCs w:val="32"/>
        </w:rPr>
        <w:t>防治工作。水稳层生产废水经沉淀池沉淀+砂石分离后回用于生产。洗车平台废水经平台下沉淀池沉淀处理后回用，不外排。生活污水经化粪池处理后用</w:t>
      </w:r>
      <w:r>
        <w:rPr>
          <w:rFonts w:hint="eastAsia" w:ascii="仿宋_GB2312" w:hAnsi="仿宋_GB2312" w:eastAsia="仿宋_GB2312" w:cs="仿宋_GB2312"/>
          <w:color w:val="000000"/>
          <w:sz w:val="32"/>
          <w:szCs w:val="32"/>
          <w:lang w:eastAsia="zh-CN"/>
        </w:rPr>
        <w:t>作农肥，待城市污水管网建成后，</w:t>
      </w:r>
      <w:r>
        <w:rPr>
          <w:rFonts w:hint="eastAsia" w:ascii="仿宋_GB2312" w:hAnsi="仿宋_GB2312" w:eastAsia="仿宋_GB2312" w:cs="仿宋_GB2312"/>
          <w:sz w:val="32"/>
          <w:szCs w:val="32"/>
        </w:rPr>
        <w:t>生活污水经化粪池预处理</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《污水综合排放标准》（GB8978-1996）三级标准</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污水处理厂进水水质要求</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排入常德高新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污水处理厂处理。</w:t>
      </w:r>
    </w:p>
    <w:p>
      <w:pPr>
        <w:keepNext w:val="0"/>
        <w:keepLines w:val="0"/>
        <w:pageBreakBefore w:val="0"/>
        <w:widowControl w:val="0"/>
        <w:numPr>
          <w:ilvl w:val="0"/>
          <w:numId w:val="0"/>
        </w:numPr>
        <w:tabs>
          <w:tab w:val="left" w:pos="103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加强运营期噪声污染防治工作。选用低噪声设备，消声、减振、搅拌楼体隔声等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加强管理，规范停车场的秩序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加强厂区绿化。</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eastAsia="仿宋_GB2312"/>
          <w:b w:val="0"/>
          <w:i w:val="0"/>
          <w:caps w:val="0"/>
          <w:color w:val="000000"/>
          <w:spacing w:val="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一般工业固体废物</w:t>
      </w:r>
      <w:r>
        <w:rPr>
          <w:rFonts w:hint="eastAsia" w:ascii="仿宋_GB2312" w:hAnsi="仿宋_GB2312" w:eastAsia="仿宋_GB2312" w:cs="仿宋_GB2312"/>
          <w:color w:val="000000"/>
          <w:sz w:val="32"/>
          <w:szCs w:val="32"/>
          <w:lang w:eastAsia="zh-CN"/>
        </w:rPr>
        <w:t>综</w:t>
      </w:r>
      <w:r>
        <w:rPr>
          <w:rFonts w:hint="eastAsia" w:ascii="仿宋_GB2312" w:hAnsi="仿宋_GB2312" w:eastAsia="仿宋_GB2312" w:cs="仿宋_GB2312"/>
          <w:color w:val="000000"/>
          <w:sz w:val="32"/>
          <w:szCs w:val="32"/>
        </w:rPr>
        <w:t>合利用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危险固废暂存于现有危废暂存间内，定期交</w:t>
      </w:r>
      <w:r>
        <w:rPr>
          <w:rFonts w:hint="eastAsia" w:ascii="仿宋_GB2312" w:hAnsi="仿宋_GB2312" w:eastAsia="仿宋_GB2312" w:cs="仿宋_GB2312"/>
          <w:color w:val="000000"/>
          <w:sz w:val="32"/>
          <w:szCs w:val="32"/>
          <w:lang w:eastAsia="zh-CN"/>
        </w:rPr>
        <w:t>有资质单位</w:t>
      </w:r>
      <w:r>
        <w:rPr>
          <w:rFonts w:hint="eastAsia" w:ascii="仿宋_GB2312" w:hAnsi="仿宋_GB2312" w:eastAsia="仿宋_GB2312" w:cs="仿宋_GB2312"/>
          <w:color w:val="000000"/>
          <w:sz w:val="32"/>
          <w:szCs w:val="32"/>
        </w:rPr>
        <w:t>处置</w:t>
      </w:r>
      <w:r>
        <w:rPr>
          <w:rFonts w:hint="eastAsia" w:ascii="仿宋_GB2312" w:hAnsi="仿宋_GB2312" w:eastAsia="仿宋_GB2312" w:cs="仿宋_GB2312"/>
          <w:color w:val="000000"/>
          <w:sz w:val="32"/>
          <w:szCs w:val="32"/>
          <w:lang w:eastAsia="zh-CN"/>
        </w:rPr>
        <w:t>。</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bidi="ar"/>
        </w:rPr>
        <w:t>四、根据《排污许可管理条例》（国务院令第736条），本项目应当重新申请取得排污许可证。</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五、项目建成后，你公司须按照《建设项目竣工环境保护验收暂行办法》中的要求，对污染防治措施、环评及批复要求的落实情况按建设项目环保验收的相关规定开展验收并向社会公开，验收合格方可投入</w:t>
      </w:r>
      <w:r>
        <w:rPr>
          <w:rFonts w:hint="eastAsia" w:ascii="仿宋_GB2312" w:hAnsi="仿宋_GB2312" w:eastAsia="仿宋_GB2312" w:cs="仿宋_GB2312"/>
          <w:sz w:val="32"/>
          <w:szCs w:val="32"/>
          <w:shd w:val="clear" w:color="auto" w:fill="FFFFFF"/>
          <w:lang w:eastAsia="zh-CN" w:bidi="ar"/>
        </w:rPr>
        <w:t>生产</w:t>
      </w:r>
      <w:r>
        <w:rPr>
          <w:rFonts w:hint="eastAsia" w:ascii="仿宋_GB2312" w:hAnsi="仿宋_GB2312" w:eastAsia="仿宋_GB2312" w:cs="仿宋_GB2312"/>
          <w:sz w:val="32"/>
          <w:szCs w:val="32"/>
          <w:shd w:val="clear" w:color="auto" w:fill="FFFFFF"/>
          <w:lang w:bidi="ar"/>
        </w:rPr>
        <w:t>。</w:t>
      </w:r>
    </w:p>
    <w:p>
      <w:pPr>
        <w:pStyle w:val="3"/>
        <w:keepNext w:val="0"/>
        <w:keepLines w:val="0"/>
        <w:pageBreakBefore w:val="0"/>
        <w:kinsoku/>
        <w:wordWrap/>
        <w:overflowPunct/>
        <w:topLinePunct w:val="0"/>
        <w:bidi w:val="0"/>
        <w:snapToGrid/>
        <w:spacing w:before="156" w:line="560" w:lineRule="exact"/>
        <w:ind w:left="210"/>
        <w:textAlignment w:val="auto"/>
        <w:rPr>
          <w:rFonts w:hint="eastAsia" w:ascii="仿宋_GB2312" w:hAnsi="仿宋_GB2312" w:eastAsia="仿宋_GB2312" w:cs="仿宋_GB2312"/>
          <w:color w:val="000000"/>
          <w:kern w:val="0"/>
          <w:sz w:val="32"/>
          <w:szCs w:val="32"/>
          <w:shd w:val="clear" w:color="auto" w:fill="FFFFFF"/>
          <w:lang w:bidi="ar"/>
        </w:rPr>
      </w:pPr>
    </w:p>
    <w:p>
      <w:pPr>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bidi="ar"/>
        </w:rPr>
        <w:t>常德市生态环境局</w:t>
      </w:r>
    </w:p>
    <w:p>
      <w:pPr>
        <w:pStyle w:val="2"/>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bidi="ar"/>
        </w:rPr>
        <w:t xml:space="preserve">                          </w:t>
      </w:r>
      <w:r>
        <w:rPr>
          <w:rFonts w:hint="eastAsia" w:ascii="仿宋_GB2312" w:hAnsi="仿宋_GB2312" w:eastAsia="仿宋_GB2312" w:cs="仿宋_GB2312"/>
          <w:sz w:val="32"/>
          <w:szCs w:val="32"/>
          <w:shd w:val="clear" w:color="auto" w:fill="FFFFFF"/>
          <w:lang w:bidi="ar"/>
        </w:rPr>
        <w:t>2021年</w:t>
      </w:r>
      <w:r>
        <w:rPr>
          <w:rFonts w:hint="eastAsia" w:ascii="仿宋_GB2312" w:hAnsi="仿宋_GB2312" w:eastAsia="仿宋_GB2312" w:cs="仿宋_GB2312"/>
          <w:sz w:val="32"/>
          <w:szCs w:val="32"/>
          <w:shd w:val="clear" w:color="auto" w:fill="FFFFFF"/>
          <w:lang w:val="en-US" w:eastAsia="zh-CN" w:bidi="ar"/>
        </w:rPr>
        <w:t>9</w:t>
      </w:r>
      <w:r>
        <w:rPr>
          <w:rFonts w:hint="eastAsia" w:ascii="仿宋_GB2312" w:hAnsi="仿宋_GB2312" w:eastAsia="仿宋_GB2312" w:cs="仿宋_GB2312"/>
          <w:sz w:val="32"/>
          <w:szCs w:val="32"/>
          <w:shd w:val="clear" w:color="auto" w:fill="FFFFFF"/>
          <w:lang w:bidi="ar"/>
        </w:rPr>
        <w:t>月</w:t>
      </w:r>
      <w:r>
        <w:rPr>
          <w:rFonts w:hint="eastAsia" w:ascii="仿宋_GB2312" w:hAnsi="仿宋_GB2312" w:eastAsia="仿宋_GB2312" w:cs="仿宋_GB2312"/>
          <w:sz w:val="32"/>
          <w:szCs w:val="32"/>
          <w:shd w:val="clear" w:color="auto" w:fill="FFFFFF"/>
          <w:lang w:val="en-US" w:eastAsia="zh-CN" w:bidi="ar"/>
        </w:rPr>
        <w:t>23</w:t>
      </w:r>
      <w:r>
        <w:rPr>
          <w:rFonts w:hint="eastAsia" w:ascii="仿宋_GB2312" w:hAnsi="仿宋_GB2312" w:eastAsia="仿宋_GB2312" w:cs="仿宋_GB2312"/>
          <w:sz w:val="32"/>
          <w:szCs w:val="32"/>
          <w:shd w:val="clear" w:color="auto" w:fill="FFFFFF"/>
          <w:lang w:bidi="ar"/>
        </w:rPr>
        <w:t>日</w:t>
      </w:r>
      <w:bookmarkStart w:id="0" w:name="_GoBack"/>
      <w:bookmarkEnd w:id="0"/>
    </w:p>
    <w:sectPr>
      <w:footerReference r:id="rId3" w:type="default"/>
      <w:pgSz w:w="11906" w:h="16838"/>
      <w:pgMar w:top="2098" w:right="1474" w:bottom="1985" w:left="1588"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方正书宋_GBK"/>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中宋">
    <w:altName w:val="方正书宋_GBK"/>
    <w:panose1 w:val="02010600040101010101"/>
    <w:charset w:val="00"/>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844"/>
        <w:tab w:val="clear" w:pos="4153"/>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9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0AaPWAAAACg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hAnsi="仿宋_GB2312" w:eastAsia="仿宋_GB2312" w:cs="仿宋_GB2312"/>
        <w:sz w:val="32"/>
        <w:szCs w:val="32"/>
        <w:lang w:eastAsia="zh-CN"/>
      </w:rPr>
      <w:tab/>
      <w:t/>
    </w:r>
    <w:r>
      <w:rPr>
        <w:rFonts w:hint="eastAsia" w:ascii="仿宋_GB2312" w:hAnsi="仿宋_GB2312" w:eastAsia="仿宋_GB2312" w:cs="仿宋_GB2312"/>
        <w:sz w:val="32"/>
        <w:szCs w:val="32"/>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F8E08"/>
    <w:rsid w:val="00373A7A"/>
    <w:rsid w:val="006F7C28"/>
    <w:rsid w:val="00784CAC"/>
    <w:rsid w:val="00A02800"/>
    <w:rsid w:val="00B059D7"/>
    <w:rsid w:val="00F14AC3"/>
    <w:rsid w:val="1B3DD38D"/>
    <w:rsid w:val="1EF33263"/>
    <w:rsid w:val="29F74732"/>
    <w:rsid w:val="2DFCC4B8"/>
    <w:rsid w:val="316E66A9"/>
    <w:rsid w:val="366F10B4"/>
    <w:rsid w:val="37DF8E08"/>
    <w:rsid w:val="47BDD3D8"/>
    <w:rsid w:val="5737771A"/>
    <w:rsid w:val="577BA5CE"/>
    <w:rsid w:val="59CD9ADF"/>
    <w:rsid w:val="5BF8C9BC"/>
    <w:rsid w:val="5EFD4F94"/>
    <w:rsid w:val="5FD3ED35"/>
    <w:rsid w:val="5FDEEFB5"/>
    <w:rsid w:val="636CB69E"/>
    <w:rsid w:val="6D3F289C"/>
    <w:rsid w:val="6F3FFC80"/>
    <w:rsid w:val="6FFEBED0"/>
    <w:rsid w:val="77DD4E2F"/>
    <w:rsid w:val="7BCFE17F"/>
    <w:rsid w:val="7DFDAA4C"/>
    <w:rsid w:val="7F75DE6B"/>
    <w:rsid w:val="7F8F8871"/>
    <w:rsid w:val="7FA76F19"/>
    <w:rsid w:val="7FEFD1C6"/>
    <w:rsid w:val="8B4B9990"/>
    <w:rsid w:val="A4BFCA69"/>
    <w:rsid w:val="A73EC5C4"/>
    <w:rsid w:val="A7FF9A4D"/>
    <w:rsid w:val="A9B1E71C"/>
    <w:rsid w:val="B0BE3F72"/>
    <w:rsid w:val="B45AFB13"/>
    <w:rsid w:val="B5BF9D38"/>
    <w:rsid w:val="B5FC4A48"/>
    <w:rsid w:val="BA6D70C4"/>
    <w:rsid w:val="BCFB9F64"/>
    <w:rsid w:val="BDFD0481"/>
    <w:rsid w:val="BF7F9DB8"/>
    <w:rsid w:val="BFB7EBE6"/>
    <w:rsid w:val="C3FF76B5"/>
    <w:rsid w:val="CAEFEFC8"/>
    <w:rsid w:val="CEE7F4FF"/>
    <w:rsid w:val="DBD1A6FE"/>
    <w:rsid w:val="DF5BEFDE"/>
    <w:rsid w:val="E1FD6E82"/>
    <w:rsid w:val="E2AD7301"/>
    <w:rsid w:val="EA7A74B3"/>
    <w:rsid w:val="ECFF448C"/>
    <w:rsid w:val="EE9F9DF6"/>
    <w:rsid w:val="EF3F1B85"/>
    <w:rsid w:val="F37F4F3F"/>
    <w:rsid w:val="F4DFD370"/>
    <w:rsid w:val="F5DF39D8"/>
    <w:rsid w:val="F6AA03E3"/>
    <w:rsid w:val="F6AFC10A"/>
    <w:rsid w:val="F76FF499"/>
    <w:rsid w:val="F7775D03"/>
    <w:rsid w:val="FB1FE124"/>
    <w:rsid w:val="FD9FD11F"/>
    <w:rsid w:val="FEEB3B62"/>
    <w:rsid w:val="FF5E0419"/>
    <w:rsid w:val="FFDEEABF"/>
    <w:rsid w:val="FFF7E379"/>
    <w:rsid w:val="FFFDD807"/>
    <w:rsid w:val="FFFF9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3">
    <w:name w:val="样式1"/>
    <w:basedOn w:val="4"/>
    <w:next w:val="1"/>
    <w:qFormat/>
    <w:uiPriority w:val="0"/>
    <w:pPr>
      <w:spacing w:beforeLines="50" w:line="440" w:lineRule="exact"/>
      <w:ind w:left="100" w:leftChars="100"/>
    </w:pPr>
    <w:rPr>
      <w:rFonts w:ascii="宋体" w:hAnsi="宋体"/>
    </w:rPr>
  </w:style>
  <w:style w:type="paragraph" w:styleId="4">
    <w:name w:val="index heading"/>
    <w:basedOn w:val="1"/>
    <w:next w:val="5"/>
    <w:qFormat/>
    <w:uiPriority w:val="99"/>
    <w:rPr>
      <w:szCs w:val="20"/>
    </w:rPr>
  </w:style>
  <w:style w:type="paragraph" w:styleId="5">
    <w:name w:val="index 1"/>
    <w:basedOn w:val="1"/>
    <w:next w:val="1"/>
    <w:unhideWhenUsed/>
    <w:qFormat/>
    <w:uiPriority w:val="0"/>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200</Words>
  <Characters>1140</Characters>
  <Lines>9</Lines>
  <Paragraphs>2</Paragraphs>
  <TotalTime>25</TotalTime>
  <ScaleCrop>false</ScaleCrop>
  <LinksUpToDate>false</LinksUpToDate>
  <CharactersWithSpaces>1338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2021-08-28T23:02:00Z</dcterms:created>
  <dc:creator>kylin</dc:creator>
  <cp:lastModifiedBy>kylin</cp:lastModifiedBy>
  <cp:lastPrinted>2021-10-11T11:18:45Z</cp:lastPrinted>
  <dcterms:modified xsi:type="dcterms:W3CDTF">2021-10-11T12:42:51Z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