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4AC2">
      <w:pPr>
        <w:spacing w:line="600" w:lineRule="exact"/>
        <w:jc w:val="both"/>
        <w:rPr>
          <w:rFonts w:ascii="Times New Roman" w:hAnsi="Times New Roman"/>
          <w:sz w:val="44"/>
          <w:szCs w:val="44"/>
        </w:rPr>
      </w:pPr>
    </w:p>
    <w:p w14:paraId="210B1B22">
      <w:pPr>
        <w:widowControl w:val="0"/>
        <w:adjustRightInd w:val="0"/>
        <w:snapToGrid w:val="0"/>
        <w:spacing w:line="600" w:lineRule="exact"/>
        <w:jc w:val="center"/>
        <w:rPr>
          <w:rFonts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湖南省人民政府</w:t>
      </w:r>
    </w:p>
    <w:p w14:paraId="1D3D8C46">
      <w:pPr>
        <w:widowControl w:val="0"/>
        <w:adjustRightInd w:val="0"/>
        <w:snapToGrid w:val="0"/>
        <w:spacing w:line="600" w:lineRule="exact"/>
        <w:jc w:val="center"/>
        <w:rPr>
          <w:rFonts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关于印发《湖南省2026年国民经济和</w:t>
      </w:r>
    </w:p>
    <w:p w14:paraId="24073EDA">
      <w:pPr>
        <w:widowControl w:val="0"/>
        <w:adjustRightInd w:val="0"/>
        <w:snapToGrid w:val="0"/>
        <w:spacing w:line="600" w:lineRule="exact"/>
        <w:jc w:val="center"/>
        <w:rPr>
          <w:rFonts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社会发展计划》的通知</w:t>
      </w:r>
    </w:p>
    <w:p w14:paraId="0FDAA0B5">
      <w:pPr>
        <w:pStyle w:val="2"/>
        <w:ind w:left="0" w:leftChars="0" w:firstLine="0" w:firstLineChars="0"/>
        <w:jc w:val="center"/>
        <w:rPr>
          <w:rFonts w:ascii="Times New Roman" w:hAnsi="Times New Roman"/>
        </w:rPr>
      </w:pPr>
    </w:p>
    <w:p w14:paraId="4B414F13">
      <w:pPr>
        <w:pStyle w:val="2"/>
        <w:ind w:left="0" w:leftChars="0" w:firstLine="0" w:firstLineChars="0"/>
        <w:jc w:val="center"/>
      </w:pPr>
      <w:r>
        <w:rPr>
          <w:rFonts w:ascii="Times New Roman" w:hAnsi="Times New Roman"/>
        </w:rPr>
        <w:t>湘政发〔202</w:t>
      </w:r>
      <w:r>
        <w:rPr>
          <w:rFonts w:hint="eastAsia" w:ascii="Times New Roman" w:hAnsi="Times New Roman"/>
        </w:rPr>
        <w:t>6</w:t>
      </w:r>
      <w:r>
        <w:rPr>
          <w:rFonts w:ascii="Times New Roman" w:hAnsi="Times New Roman"/>
        </w:rPr>
        <w:t>〕</w:t>
      </w:r>
      <w:r>
        <w:rPr>
          <w:rFonts w:hint="eastAsia" w:ascii="Times New Roman" w:hAnsi="Times New Roman"/>
        </w:rPr>
        <w:t>3</w:t>
      </w:r>
      <w:r>
        <w:rPr>
          <w:rFonts w:ascii="Times New Roman" w:hAnsi="Times New Roman"/>
        </w:rPr>
        <w:t>号</w:t>
      </w:r>
    </w:p>
    <w:p w14:paraId="5C42263F">
      <w:pPr>
        <w:widowControl w:val="0"/>
        <w:spacing w:line="600" w:lineRule="exact"/>
        <w:rPr>
          <w:rFonts w:ascii="仿宋_GB2312" w:hAnsi="仿宋_GB2312" w:eastAsia="仿宋_GB2312" w:cs="仿宋_GB2312"/>
        </w:rPr>
      </w:pPr>
    </w:p>
    <w:p w14:paraId="4FA7ADC6">
      <w:pPr>
        <w:widowControl w:val="0"/>
        <w:spacing w:line="600" w:lineRule="exact"/>
        <w:rPr>
          <w:rFonts w:ascii="仿宋_GB2312" w:hAnsi="仿宋_GB2312" w:eastAsia="仿宋_GB2312" w:cs="仿宋_GB2312"/>
        </w:rPr>
      </w:pPr>
      <w:r>
        <w:rPr>
          <w:rFonts w:hint="eastAsia" w:ascii="仿宋_GB2312" w:hAnsi="仿宋_GB2312" w:eastAsia="仿宋_GB2312" w:cs="仿宋_GB2312"/>
        </w:rPr>
        <w:t>各市州、县市区人民政府，省政府各厅委、各直属机构：</w:t>
      </w:r>
    </w:p>
    <w:p w14:paraId="46A57700">
      <w:pPr>
        <w:widowControl w:val="0"/>
        <w:adjustRightInd w:val="0"/>
        <w:spacing w:line="600" w:lineRule="exact"/>
        <w:ind w:firstLine="640" w:firstLineChars="200"/>
        <w:rPr>
          <w:rFonts w:ascii="仿宋_GB2312" w:hAnsi="仿宋_GB2312" w:eastAsia="仿宋_GB2312" w:cs="仿宋_GB2312"/>
        </w:rPr>
      </w:pPr>
      <w:r>
        <w:rPr>
          <w:rFonts w:hint="eastAsia" w:ascii="仿宋_GB2312" w:hAnsi="仿宋_GB2312" w:eastAsia="仿宋_GB2312" w:cs="仿宋_GB2312"/>
        </w:rPr>
        <w:t>《湖南省</w:t>
      </w:r>
      <w:r>
        <w:rPr>
          <w:rFonts w:hint="eastAsia" w:ascii="Times New Roman" w:hAnsi="Times New Roman" w:eastAsia="仿宋_GB2312" w:cs="仿宋_GB2312"/>
          <w:color w:val="auto"/>
        </w:rPr>
        <w:t>2026</w:t>
      </w:r>
      <w:r>
        <w:rPr>
          <w:rFonts w:hint="eastAsia" w:ascii="仿宋_GB2312" w:hAnsi="仿宋_GB2312" w:eastAsia="仿宋_GB2312" w:cs="仿宋_GB2312"/>
        </w:rPr>
        <w:t>年国民经济和社会发展计划》已经</w:t>
      </w:r>
      <w:r>
        <w:rPr>
          <w:rFonts w:hint="eastAsia" w:ascii="仿宋_GB2312" w:hAnsi="仿宋_GB2312" w:eastAsia="仿宋_GB2312" w:cs="仿宋_GB2312"/>
          <w:color w:val="auto"/>
        </w:rPr>
        <w:t>省十四届人大四次会议</w:t>
      </w:r>
      <w:r>
        <w:rPr>
          <w:rFonts w:hint="eastAsia" w:ascii="仿宋_GB2312" w:hAnsi="仿宋_GB2312" w:eastAsia="仿宋_GB2312" w:cs="仿宋_GB2312"/>
        </w:rPr>
        <w:t>审议通过，现印发给你们，请结合实际认真组织实施。</w:t>
      </w:r>
    </w:p>
    <w:p w14:paraId="0A95FF5D">
      <w:pPr>
        <w:widowControl w:val="0"/>
        <w:spacing w:line="600" w:lineRule="exact"/>
        <w:rPr>
          <w:rFonts w:ascii="仿宋_GB2312" w:hAnsi="仿宋_GB2312" w:eastAsia="仿宋_GB2312" w:cs="仿宋_GB2312"/>
        </w:rPr>
      </w:pPr>
    </w:p>
    <w:p w14:paraId="6F5EA108">
      <w:pPr>
        <w:pStyle w:val="10"/>
        <w:widowControl w:val="0"/>
        <w:spacing w:line="600" w:lineRule="exact"/>
        <w:rPr>
          <w:rFonts w:ascii="仿宋_GB2312" w:hAnsi="仿宋_GB2312" w:eastAsia="仿宋_GB2312" w:cs="仿宋_GB2312"/>
          <w:sz w:val="32"/>
        </w:rPr>
      </w:pPr>
    </w:p>
    <w:p w14:paraId="35012AB6">
      <w:pPr>
        <w:pStyle w:val="5"/>
      </w:pPr>
    </w:p>
    <w:p w14:paraId="02E4FAC8">
      <w:pPr>
        <w:widowControl w:val="0"/>
        <w:spacing w:line="600" w:lineRule="exact"/>
        <w:ind w:right="1968" w:rightChars="615"/>
        <w:jc w:val="right"/>
        <w:rPr>
          <w:rFonts w:ascii="仿宋_GB2312" w:hAnsi="仿宋_GB2312" w:eastAsia="仿宋_GB2312" w:cs="仿宋_GB2312"/>
        </w:rPr>
      </w:pPr>
      <w:r>
        <w:rPr>
          <w:rFonts w:hint="eastAsia" w:ascii="仿宋_GB2312" w:hAnsi="仿宋_GB2312" w:eastAsia="仿宋_GB2312" w:cs="仿宋_GB2312"/>
        </w:rPr>
        <w:t>湖南省人民政府</w:t>
      </w:r>
    </w:p>
    <w:p w14:paraId="02B6EF33">
      <w:pPr>
        <w:widowControl w:val="0"/>
        <w:spacing w:line="600" w:lineRule="exact"/>
        <w:ind w:right="1968" w:rightChars="615"/>
        <w:jc w:val="right"/>
        <w:rPr>
          <w:rFonts w:ascii="仿宋_GB2312" w:hAnsi="仿宋_GB2312" w:eastAsia="仿宋_GB2312" w:cs="仿宋_GB2312"/>
        </w:rPr>
      </w:pPr>
      <w:r>
        <w:rPr>
          <w:rFonts w:hint="eastAsia" w:ascii="Times New Roman" w:hAnsi="Times New Roman" w:eastAsia="仿宋_GB2312" w:cs="仿宋_GB2312"/>
          <w:color w:val="auto"/>
        </w:rPr>
        <w:t>2026</w:t>
      </w:r>
      <w:r>
        <w:rPr>
          <w:rFonts w:hint="eastAsia" w:ascii="仿宋_GB2312" w:hAnsi="仿宋_GB2312" w:eastAsia="仿宋_GB2312" w:cs="仿宋_GB2312"/>
        </w:rPr>
        <w:t>年</w:t>
      </w:r>
      <w:r>
        <w:rPr>
          <w:rFonts w:hint="eastAsia" w:eastAsia="仿宋_GB2312" w:cs="仿宋_GB2312"/>
          <w:color w:val="auto"/>
        </w:rPr>
        <w:t>3</w:t>
      </w:r>
      <w:r>
        <w:rPr>
          <w:rFonts w:hint="eastAsia" w:ascii="仿宋_GB2312" w:hAnsi="仿宋_GB2312" w:eastAsia="仿宋_GB2312" w:cs="仿宋_GB2312"/>
        </w:rPr>
        <w:t>月</w:t>
      </w:r>
      <w:r>
        <w:rPr>
          <w:rFonts w:ascii="Times New Roman" w:hAnsi="Times New Roman" w:eastAsia="仿宋_GB2312"/>
        </w:rPr>
        <w:t>3</w:t>
      </w:r>
      <w:r>
        <w:rPr>
          <w:rFonts w:hint="eastAsia" w:ascii="仿宋_GB2312" w:hAnsi="仿宋_GB2312" w:eastAsia="仿宋_GB2312" w:cs="仿宋_GB2312"/>
        </w:rPr>
        <w:t>日</w:t>
      </w:r>
    </w:p>
    <w:p w14:paraId="48E71FB2">
      <w:pPr>
        <w:widowControl w:val="0"/>
        <w:adjustRightInd w:val="0"/>
        <w:spacing w:line="600" w:lineRule="exact"/>
        <w:ind w:firstLine="640" w:firstLineChars="200"/>
        <w:jc w:val="both"/>
        <w:rPr>
          <w:rFonts w:ascii="仿宋_GB2312" w:hAnsi="仿宋_GB2312" w:eastAsia="仿宋_GB2312" w:cs="仿宋_GB2312"/>
        </w:rPr>
      </w:pPr>
      <w:r>
        <w:rPr>
          <w:rFonts w:hint="eastAsia" w:ascii="仿宋_GB2312" w:hAnsi="仿宋_GB2312" w:eastAsia="仿宋_GB2312" w:cs="仿宋_GB2312"/>
        </w:rPr>
        <w:t>（此件主动公开）</w:t>
      </w:r>
    </w:p>
    <w:p w14:paraId="31215DD7">
      <w:pPr>
        <w:pStyle w:val="10"/>
        <w:rPr>
          <w:rFonts w:ascii="仿宋_GB2312" w:hAnsi="仿宋_GB2312" w:eastAsia="仿宋_GB2312" w:cs="仿宋_GB2312"/>
          <w:sz w:val="32"/>
        </w:rPr>
      </w:pPr>
    </w:p>
    <w:p w14:paraId="5A2FE301">
      <w:pPr>
        <w:pStyle w:val="5"/>
        <w:sectPr>
          <w:footerReference r:id="rId3" w:type="default"/>
          <w:footerReference r:id="rId4" w:type="even"/>
          <w:pgSz w:w="11906" w:h="16838"/>
          <w:pgMar w:top="1701" w:right="1417" w:bottom="1417" w:left="1417" w:header="850" w:footer="1020" w:gutter="0"/>
          <w:cols w:space="720" w:num="1"/>
          <w:docGrid w:type="lines" w:linePitch="312" w:charSpace="0"/>
        </w:sectPr>
      </w:pPr>
    </w:p>
    <w:p w14:paraId="6BA1A792">
      <w:pPr>
        <w:widowControl w:val="0"/>
        <w:adjustRightInd w:val="0"/>
        <w:snapToGrid w:val="0"/>
        <w:spacing w:line="600" w:lineRule="exact"/>
        <w:jc w:val="center"/>
        <w:rPr>
          <w:rFonts w:ascii="仿宋_GB2312" w:hAnsi="仿宋_GB2312" w:eastAsia="仿宋_GB2312" w:cs="仿宋_GB2312"/>
          <w:color w:val="auto"/>
          <w:kern w:val="2"/>
        </w:rPr>
      </w:pPr>
    </w:p>
    <w:p w14:paraId="0833BFE2">
      <w:pPr>
        <w:widowControl w:val="0"/>
        <w:adjustRightInd w:val="0"/>
        <w:snapToGrid w:val="0"/>
        <w:spacing w:line="600" w:lineRule="exact"/>
        <w:jc w:val="center"/>
        <w:rPr>
          <w:rFonts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湖南省2026年国民经济和社会发展计划</w:t>
      </w:r>
    </w:p>
    <w:p w14:paraId="5DB50AAF">
      <w:pPr>
        <w:widowControl w:val="0"/>
        <w:adjustRightInd w:val="0"/>
        <w:snapToGrid w:val="0"/>
        <w:spacing w:line="600" w:lineRule="exact"/>
        <w:rPr>
          <w:rFonts w:ascii="仿宋_GB2312" w:hAnsi="仿宋_GB2312" w:eastAsia="仿宋_GB2312" w:cs="仿宋_GB2312"/>
          <w:color w:val="auto"/>
        </w:rPr>
      </w:pPr>
    </w:p>
    <w:p w14:paraId="1E2EF5BD">
      <w:pPr>
        <w:widowControl w:val="0"/>
        <w:adjustRightInd w:val="0"/>
        <w:snapToGrid w:val="0"/>
        <w:spacing w:line="600" w:lineRule="exact"/>
        <w:ind w:firstLine="640" w:firstLineChars="200"/>
        <w:rPr>
          <w:rFonts w:ascii="仿宋_GB2312" w:hAnsi="仿宋_GB2312" w:eastAsia="仿宋_GB2312" w:cs="仿宋_GB2312"/>
          <w:color w:val="auto"/>
        </w:rPr>
      </w:pPr>
      <w:r>
        <w:rPr>
          <w:rFonts w:hint="eastAsia" w:ascii="Times New Roman" w:hAnsi="Times New Roman" w:eastAsia="仿宋_GB2312" w:cs="仿宋_GB2312"/>
          <w:color w:val="auto"/>
        </w:rPr>
        <w:t>2025</w:t>
      </w:r>
      <w:r>
        <w:rPr>
          <w:rFonts w:hint="eastAsia" w:ascii="仿宋_GB2312" w:hAnsi="仿宋_GB2312" w:eastAsia="仿宋_GB2312" w:cs="仿宋_GB2312"/>
          <w:color w:val="auto"/>
        </w:rPr>
        <w:t>年，全省上下坚持以习近平新时代中国特色社会主义思想为指导，认真贯彻党的二十大和二十届历次全会精神，全面落实习近平总书记关于湖南工作的重要讲话和指示批示精神，在省委、省人民政府坚强领导下，认真执行省十四届人大三次会议审查批准的</w:t>
      </w:r>
      <w:r>
        <w:rPr>
          <w:rFonts w:hint="eastAsia" w:ascii="Times New Roman" w:hAnsi="Times New Roman" w:eastAsia="仿宋_GB2312" w:cs="仿宋_GB2312"/>
          <w:color w:val="auto"/>
        </w:rPr>
        <w:t>2025</w:t>
      </w:r>
      <w:r>
        <w:rPr>
          <w:rFonts w:hint="eastAsia" w:ascii="仿宋_GB2312" w:hAnsi="仿宋_GB2312" w:eastAsia="仿宋_GB2312" w:cs="仿宋_GB2312"/>
          <w:color w:val="auto"/>
        </w:rPr>
        <w:t>年国民经济和社会发展计划，锚定“三高四新”美好蓝图，牢牢把握“五个必须坚持”，大力实施“七大攻坚”，高质量发展迈出新的坚实步伐。地区生产总值突破</w:t>
      </w:r>
      <w:r>
        <w:rPr>
          <w:rFonts w:hint="eastAsia" w:ascii="Times New Roman" w:hAnsi="Times New Roman" w:eastAsia="仿宋_GB2312" w:cs="仿宋_GB2312"/>
          <w:color w:val="auto"/>
        </w:rPr>
        <w:t>5</w:t>
      </w:r>
      <w:r>
        <w:rPr>
          <w:rFonts w:hint="eastAsia" w:ascii="仿宋_GB2312" w:hAnsi="仿宋_GB2312" w:eastAsia="仿宋_GB2312" w:cs="仿宋_GB2312"/>
          <w:color w:val="auto"/>
        </w:rPr>
        <w:t>.</w:t>
      </w:r>
      <w:r>
        <w:rPr>
          <w:rFonts w:hint="eastAsia" w:ascii="Times New Roman" w:hAnsi="Times New Roman" w:eastAsia="仿宋_GB2312" w:cs="仿宋_GB2312"/>
          <w:color w:val="auto"/>
        </w:rPr>
        <w:t>5</w:t>
      </w:r>
      <w:r>
        <w:rPr>
          <w:rFonts w:hint="eastAsia" w:ascii="仿宋_GB2312" w:hAnsi="仿宋_GB2312" w:eastAsia="仿宋_GB2312" w:cs="仿宋_GB2312"/>
          <w:color w:val="auto"/>
        </w:rPr>
        <w:t>万亿元、增长</w:t>
      </w:r>
      <w:r>
        <w:rPr>
          <w:rFonts w:hint="eastAsia" w:ascii="Times New Roman" w:hAnsi="Times New Roman" w:eastAsia="仿宋_GB2312" w:cs="仿宋_GB2312"/>
          <w:color w:val="auto"/>
        </w:rPr>
        <w:t>4</w:t>
      </w:r>
      <w:r>
        <w:rPr>
          <w:rFonts w:hint="eastAsia" w:ascii="仿宋_GB2312" w:hAnsi="仿宋_GB2312" w:eastAsia="仿宋_GB2312" w:cs="仿宋_GB2312"/>
          <w:color w:val="auto"/>
        </w:rPr>
        <w:t>.</w:t>
      </w:r>
      <w:r>
        <w:rPr>
          <w:rFonts w:hint="eastAsia" w:ascii="Times New Roman" w:hAnsi="Times New Roman" w:eastAsia="仿宋_GB2312" w:cs="仿宋_GB2312"/>
          <w:color w:val="auto"/>
        </w:rPr>
        <w:t>8%</w:t>
      </w:r>
      <w:r>
        <w:rPr>
          <w:rFonts w:hint="eastAsia" w:ascii="仿宋_GB2312" w:hAnsi="仿宋_GB2312" w:eastAsia="仿宋_GB2312" w:cs="仿宋_GB2312"/>
          <w:color w:val="auto"/>
        </w:rPr>
        <w:t>，服务业增加值增长</w:t>
      </w:r>
      <w:r>
        <w:rPr>
          <w:rFonts w:hint="eastAsia" w:ascii="Times New Roman" w:hAnsi="Times New Roman" w:eastAsia="仿宋_GB2312" w:cs="仿宋_GB2312"/>
          <w:color w:val="auto"/>
        </w:rPr>
        <w:t>5</w:t>
      </w:r>
      <w:r>
        <w:rPr>
          <w:rFonts w:hint="eastAsia" w:ascii="仿宋_GB2312" w:hAnsi="仿宋_GB2312" w:eastAsia="仿宋_GB2312" w:cs="仿宋_GB2312"/>
          <w:color w:val="auto"/>
        </w:rPr>
        <w:t>.</w:t>
      </w:r>
      <w:r>
        <w:rPr>
          <w:rFonts w:hint="eastAsia" w:ascii="Times New Roman" w:hAnsi="Times New Roman" w:eastAsia="仿宋_GB2312" w:cs="仿宋_GB2312"/>
          <w:color w:val="auto"/>
        </w:rPr>
        <w:t>3%</w:t>
      </w:r>
      <w:r>
        <w:rPr>
          <w:rFonts w:hint="eastAsia" w:ascii="仿宋_GB2312" w:hAnsi="仿宋_GB2312" w:eastAsia="仿宋_GB2312" w:cs="仿宋_GB2312"/>
          <w:color w:val="auto"/>
        </w:rPr>
        <w:t>，规模工业增加值增长</w:t>
      </w:r>
      <w:r>
        <w:rPr>
          <w:rFonts w:hint="eastAsia" w:ascii="Times New Roman" w:hAnsi="Times New Roman" w:eastAsia="仿宋_GB2312" w:cs="仿宋_GB2312"/>
          <w:color w:val="auto"/>
        </w:rPr>
        <w:t>6</w:t>
      </w:r>
      <w:r>
        <w:rPr>
          <w:rFonts w:hint="eastAsia" w:ascii="仿宋_GB2312" w:hAnsi="仿宋_GB2312" w:eastAsia="仿宋_GB2312" w:cs="仿宋_GB2312"/>
          <w:color w:val="auto"/>
        </w:rPr>
        <w:t>.</w:t>
      </w:r>
      <w:r>
        <w:rPr>
          <w:rFonts w:hint="eastAsia" w:ascii="Times New Roman" w:hAnsi="Times New Roman" w:eastAsia="仿宋_GB2312" w:cs="仿宋_GB2312"/>
          <w:color w:val="auto"/>
        </w:rPr>
        <w:t>2%</w:t>
      </w:r>
      <w:r>
        <w:rPr>
          <w:rFonts w:hint="eastAsia" w:ascii="仿宋_GB2312" w:hAnsi="仿宋_GB2312" w:eastAsia="仿宋_GB2312" w:cs="仿宋_GB2312"/>
          <w:color w:val="auto"/>
        </w:rPr>
        <w:t>，固定资产投资下降</w:t>
      </w:r>
      <w:r>
        <w:rPr>
          <w:rFonts w:hint="eastAsia" w:ascii="Times New Roman" w:hAnsi="Times New Roman" w:eastAsia="仿宋_GB2312" w:cs="仿宋_GB2312"/>
          <w:color w:val="auto"/>
        </w:rPr>
        <w:t>11</w:t>
      </w:r>
      <w:r>
        <w:rPr>
          <w:rFonts w:hint="eastAsia" w:ascii="仿宋_GB2312" w:hAnsi="仿宋_GB2312" w:eastAsia="仿宋_GB2312" w:cs="仿宋_GB2312"/>
          <w:color w:val="auto"/>
        </w:rPr>
        <w:t>.</w:t>
      </w:r>
      <w:r>
        <w:rPr>
          <w:rFonts w:hint="eastAsia" w:ascii="Times New Roman" w:hAnsi="Times New Roman" w:eastAsia="仿宋_GB2312" w:cs="仿宋_GB2312"/>
          <w:color w:val="auto"/>
        </w:rPr>
        <w:t>7%</w:t>
      </w:r>
      <w:r>
        <w:rPr>
          <w:rFonts w:hint="eastAsia" w:ascii="仿宋_GB2312" w:hAnsi="仿宋_GB2312" w:eastAsia="仿宋_GB2312" w:cs="仿宋_GB2312"/>
          <w:color w:val="auto"/>
        </w:rPr>
        <w:t>，社会消费品零售总额增长</w:t>
      </w:r>
      <w:r>
        <w:rPr>
          <w:rFonts w:hint="eastAsia" w:ascii="Times New Roman" w:hAnsi="Times New Roman" w:eastAsia="仿宋_GB2312" w:cs="仿宋_GB2312"/>
          <w:color w:val="auto"/>
        </w:rPr>
        <w:t>3</w:t>
      </w:r>
      <w:r>
        <w:rPr>
          <w:rFonts w:hint="eastAsia" w:ascii="仿宋_GB2312" w:hAnsi="仿宋_GB2312" w:eastAsia="仿宋_GB2312" w:cs="仿宋_GB2312"/>
          <w:color w:val="auto"/>
        </w:rPr>
        <w:t>.</w:t>
      </w:r>
      <w:r>
        <w:rPr>
          <w:rFonts w:hint="eastAsia" w:ascii="Times New Roman" w:hAnsi="Times New Roman" w:eastAsia="仿宋_GB2312" w:cs="仿宋_GB2312"/>
          <w:color w:val="auto"/>
        </w:rPr>
        <w:t>6%</w:t>
      </w:r>
      <w:r>
        <w:rPr>
          <w:rFonts w:hint="eastAsia" w:ascii="仿宋_GB2312" w:hAnsi="仿宋_GB2312" w:eastAsia="仿宋_GB2312" w:cs="仿宋_GB2312"/>
          <w:color w:val="auto"/>
        </w:rPr>
        <w:t>，进出口总额下降</w:t>
      </w:r>
      <w:r>
        <w:rPr>
          <w:rFonts w:hint="eastAsia" w:ascii="Times New Roman" w:hAnsi="Times New Roman" w:eastAsia="仿宋_GB2312" w:cs="仿宋_GB2312"/>
          <w:color w:val="auto"/>
        </w:rPr>
        <w:t>3</w:t>
      </w:r>
      <w:r>
        <w:rPr>
          <w:rFonts w:hint="eastAsia" w:ascii="仿宋_GB2312" w:hAnsi="仿宋_GB2312" w:eastAsia="仿宋_GB2312" w:cs="仿宋_GB2312"/>
          <w:color w:val="auto"/>
        </w:rPr>
        <w:t>.</w:t>
      </w:r>
      <w:r>
        <w:rPr>
          <w:rFonts w:hint="eastAsia" w:ascii="Times New Roman" w:hAnsi="Times New Roman" w:eastAsia="仿宋_GB2312" w:cs="仿宋_GB2312"/>
          <w:color w:val="auto"/>
        </w:rPr>
        <w:t>9%</w:t>
      </w:r>
      <w:r>
        <w:rPr>
          <w:rFonts w:hint="eastAsia" w:ascii="仿宋_GB2312" w:hAnsi="仿宋_GB2312" w:eastAsia="仿宋_GB2312" w:cs="仿宋_GB2312"/>
          <w:color w:val="auto"/>
        </w:rPr>
        <w:t>，地方一般公共预算收入增长</w:t>
      </w:r>
      <w:r>
        <w:rPr>
          <w:rFonts w:hint="eastAsia" w:ascii="Times New Roman" w:hAnsi="Times New Roman" w:eastAsia="仿宋_GB2312" w:cs="仿宋_GB2312"/>
          <w:color w:val="auto"/>
        </w:rPr>
        <w:t>1</w:t>
      </w:r>
      <w:r>
        <w:rPr>
          <w:rFonts w:hint="eastAsia" w:ascii="仿宋_GB2312" w:hAnsi="仿宋_GB2312" w:eastAsia="仿宋_GB2312" w:cs="仿宋_GB2312"/>
          <w:color w:val="auto"/>
        </w:rPr>
        <w:t>.</w:t>
      </w:r>
      <w:r>
        <w:rPr>
          <w:rFonts w:hint="eastAsia" w:ascii="Times New Roman" w:hAnsi="Times New Roman" w:eastAsia="仿宋_GB2312" w:cs="仿宋_GB2312"/>
          <w:color w:val="auto"/>
        </w:rPr>
        <w:t>7%</w:t>
      </w:r>
      <w:r>
        <w:rPr>
          <w:rFonts w:hint="eastAsia" w:ascii="仿宋_GB2312" w:hAnsi="仿宋_GB2312" w:eastAsia="仿宋_GB2312" w:cs="仿宋_GB2312"/>
          <w:color w:val="auto"/>
        </w:rPr>
        <w:t>，全体居民人均可支配收入增长</w:t>
      </w:r>
      <w:r>
        <w:rPr>
          <w:rFonts w:hint="eastAsia" w:ascii="Times New Roman" w:hAnsi="Times New Roman" w:eastAsia="仿宋_GB2312" w:cs="仿宋_GB2312"/>
          <w:color w:val="auto"/>
        </w:rPr>
        <w:t>5</w:t>
      </w:r>
      <w:r>
        <w:rPr>
          <w:rFonts w:hint="eastAsia" w:ascii="仿宋_GB2312" w:hAnsi="仿宋_GB2312" w:eastAsia="仿宋_GB2312" w:cs="仿宋_GB2312"/>
          <w:color w:val="auto"/>
        </w:rPr>
        <w:t>.</w:t>
      </w:r>
      <w:r>
        <w:rPr>
          <w:rFonts w:hint="eastAsia" w:ascii="Times New Roman" w:hAnsi="Times New Roman" w:eastAsia="仿宋_GB2312" w:cs="仿宋_GB2312"/>
          <w:color w:val="auto"/>
        </w:rPr>
        <w:t>0%</w:t>
      </w:r>
      <w:r>
        <w:rPr>
          <w:rFonts w:hint="eastAsia" w:ascii="仿宋_GB2312" w:hAnsi="仿宋_GB2312" w:eastAsia="仿宋_GB2312" w:cs="仿宋_GB2312"/>
          <w:color w:val="auto"/>
        </w:rPr>
        <w:t>，居民消费价格（</w:t>
      </w:r>
      <w:r>
        <w:rPr>
          <w:rFonts w:hint="eastAsia" w:ascii="Times New Roman" w:hAnsi="Times New Roman" w:eastAsia="仿宋_GB2312" w:cs="仿宋_GB2312"/>
          <w:color w:val="auto"/>
        </w:rPr>
        <w:t>CPI</w:t>
      </w:r>
      <w:r>
        <w:rPr>
          <w:rFonts w:hint="eastAsia" w:ascii="仿宋_GB2312" w:hAnsi="仿宋_GB2312" w:eastAsia="仿宋_GB2312" w:cs="仿宋_GB2312"/>
          <w:color w:val="auto"/>
        </w:rPr>
        <w:t>）与上年度持平，城镇新增就业</w:t>
      </w:r>
      <w:r>
        <w:rPr>
          <w:rFonts w:hint="eastAsia" w:ascii="Times New Roman" w:hAnsi="Times New Roman" w:eastAsia="仿宋_GB2312" w:cs="仿宋_GB2312"/>
          <w:color w:val="auto"/>
        </w:rPr>
        <w:t>82</w:t>
      </w:r>
      <w:r>
        <w:rPr>
          <w:rFonts w:hint="eastAsia" w:ascii="仿宋_GB2312" w:hAnsi="仿宋_GB2312" w:eastAsia="仿宋_GB2312" w:cs="仿宋_GB2312"/>
          <w:color w:val="auto"/>
        </w:rPr>
        <w:t>.</w:t>
      </w:r>
      <w:r>
        <w:rPr>
          <w:rFonts w:hint="eastAsia" w:ascii="Times New Roman" w:hAnsi="Times New Roman" w:eastAsia="仿宋_GB2312" w:cs="仿宋_GB2312"/>
          <w:color w:val="auto"/>
        </w:rPr>
        <w:t>68</w:t>
      </w:r>
      <w:r>
        <w:rPr>
          <w:rFonts w:hint="eastAsia" w:ascii="仿宋_GB2312" w:hAnsi="仿宋_GB2312" w:eastAsia="仿宋_GB2312" w:cs="仿宋_GB2312"/>
          <w:color w:val="auto"/>
        </w:rPr>
        <w:t>万人，粮食产量突破</w:t>
      </w:r>
      <w:r>
        <w:rPr>
          <w:rFonts w:hint="eastAsia" w:ascii="Times New Roman" w:hAnsi="Times New Roman" w:eastAsia="仿宋_GB2312" w:cs="仿宋_GB2312"/>
          <w:color w:val="auto"/>
        </w:rPr>
        <w:t>620</w:t>
      </w:r>
      <w:r>
        <w:rPr>
          <w:rFonts w:hint="eastAsia" w:ascii="仿宋_GB2312" w:hAnsi="仿宋_GB2312" w:eastAsia="仿宋_GB2312" w:cs="仿宋_GB2312"/>
          <w:color w:val="auto"/>
        </w:rPr>
        <w:t>亿斤、创历史新高，地表水达到或好于Ⅲ类水体比例达成年度目标。</w:t>
      </w:r>
    </w:p>
    <w:p w14:paraId="67276071">
      <w:pPr>
        <w:widowControl w:val="0"/>
        <w:adjustRightInd w:val="0"/>
        <w:snapToGrid w:val="0"/>
        <w:spacing w:line="600" w:lineRule="exact"/>
        <w:ind w:firstLine="640" w:firstLineChars="200"/>
        <w:rPr>
          <w:rFonts w:ascii="仿宋_GB2312" w:hAnsi="仿宋_GB2312" w:eastAsia="仿宋_GB2312" w:cs="仿宋_GB2312"/>
          <w:color w:val="auto"/>
        </w:rPr>
      </w:pPr>
      <w:r>
        <w:rPr>
          <w:rFonts w:hint="eastAsia" w:ascii="仿宋_GB2312" w:hAnsi="仿宋_GB2312" w:eastAsia="仿宋_GB2312" w:cs="仿宋_GB2312"/>
          <w:color w:val="auto"/>
        </w:rPr>
        <w:t>按照省委经济工作会议总体部署，</w:t>
      </w:r>
      <w:r>
        <w:rPr>
          <w:rFonts w:hint="eastAsia" w:ascii="Times New Roman" w:hAnsi="Times New Roman" w:eastAsia="仿宋_GB2312" w:cs="仿宋_GB2312"/>
          <w:color w:val="auto"/>
        </w:rPr>
        <w:t>2026</w:t>
      </w:r>
      <w:r>
        <w:rPr>
          <w:rFonts w:hint="eastAsia" w:ascii="仿宋_GB2312" w:hAnsi="仿宋_GB2312" w:eastAsia="仿宋_GB2312" w:cs="仿宋_GB2312"/>
          <w:color w:val="auto"/>
        </w:rPr>
        <w:t>年经济社会发展主要预期目标是：地区生产总值增长</w:t>
      </w:r>
      <w:r>
        <w:rPr>
          <w:rFonts w:hint="eastAsia" w:ascii="Times New Roman" w:hAnsi="Times New Roman" w:eastAsia="仿宋_GB2312" w:cs="仿宋_GB2312"/>
          <w:color w:val="auto"/>
        </w:rPr>
        <w:t>5%</w:t>
      </w:r>
      <w:r>
        <w:rPr>
          <w:rFonts w:hint="eastAsia" w:ascii="仿宋_GB2312" w:hAnsi="仿宋_GB2312" w:eastAsia="仿宋_GB2312" w:cs="仿宋_GB2312"/>
          <w:color w:val="auto"/>
        </w:rPr>
        <w:t>左右，在实际工作中努力争取更好结果，一产业增加值增长</w:t>
      </w:r>
      <w:r>
        <w:rPr>
          <w:rFonts w:hint="eastAsia" w:ascii="Times New Roman" w:hAnsi="Times New Roman" w:eastAsia="仿宋_GB2312" w:cs="仿宋_GB2312"/>
          <w:color w:val="auto"/>
        </w:rPr>
        <w:t>3</w:t>
      </w:r>
      <w:r>
        <w:rPr>
          <w:rFonts w:hint="eastAsia" w:ascii="仿宋_GB2312" w:hAnsi="仿宋_GB2312" w:eastAsia="仿宋_GB2312" w:cs="仿宋_GB2312"/>
          <w:color w:val="auto"/>
        </w:rPr>
        <w:t>.</w:t>
      </w:r>
      <w:r>
        <w:rPr>
          <w:rFonts w:hint="eastAsia" w:ascii="Times New Roman" w:hAnsi="Times New Roman" w:eastAsia="仿宋_GB2312" w:cs="仿宋_GB2312"/>
          <w:color w:val="auto"/>
        </w:rPr>
        <w:t>5%</w:t>
      </w:r>
      <w:r>
        <w:rPr>
          <w:rFonts w:hint="eastAsia" w:ascii="仿宋_GB2312" w:hAnsi="仿宋_GB2312" w:eastAsia="仿宋_GB2312" w:cs="仿宋_GB2312"/>
          <w:color w:val="auto"/>
        </w:rPr>
        <w:t>，规模工业增加值增长</w:t>
      </w:r>
      <w:r>
        <w:rPr>
          <w:rFonts w:hint="eastAsia" w:ascii="Times New Roman" w:hAnsi="Times New Roman" w:eastAsia="仿宋_GB2312" w:cs="仿宋_GB2312"/>
          <w:color w:val="auto"/>
        </w:rPr>
        <w:t>6%</w:t>
      </w:r>
      <w:r>
        <w:rPr>
          <w:rFonts w:hint="eastAsia" w:ascii="仿宋_GB2312" w:hAnsi="仿宋_GB2312" w:eastAsia="仿宋_GB2312" w:cs="仿宋_GB2312"/>
          <w:color w:val="auto"/>
        </w:rPr>
        <w:t>，服务业增加值增长</w:t>
      </w:r>
      <w:r>
        <w:rPr>
          <w:rFonts w:hint="eastAsia" w:ascii="Times New Roman" w:hAnsi="Times New Roman" w:eastAsia="仿宋_GB2312" w:cs="仿宋_GB2312"/>
          <w:color w:val="auto"/>
        </w:rPr>
        <w:t>5</w:t>
      </w:r>
      <w:r>
        <w:rPr>
          <w:rFonts w:hint="eastAsia" w:ascii="仿宋_GB2312" w:hAnsi="仿宋_GB2312" w:eastAsia="仿宋_GB2312" w:cs="仿宋_GB2312"/>
          <w:color w:val="auto"/>
        </w:rPr>
        <w:t>.</w:t>
      </w:r>
      <w:r>
        <w:rPr>
          <w:rFonts w:hint="eastAsia" w:ascii="Times New Roman" w:hAnsi="Times New Roman" w:eastAsia="仿宋_GB2312" w:cs="仿宋_GB2312"/>
          <w:color w:val="auto"/>
        </w:rPr>
        <w:t>5%</w:t>
      </w:r>
      <w:r>
        <w:rPr>
          <w:rFonts w:hint="eastAsia" w:ascii="仿宋_GB2312" w:hAnsi="仿宋_GB2312" w:eastAsia="仿宋_GB2312" w:cs="仿宋_GB2312"/>
          <w:color w:val="auto"/>
        </w:rPr>
        <w:t>，社会消费品零售总额增长</w:t>
      </w:r>
      <w:r>
        <w:rPr>
          <w:rFonts w:hint="eastAsia" w:ascii="Times New Roman" w:hAnsi="Times New Roman" w:eastAsia="仿宋_GB2312" w:cs="仿宋_GB2312"/>
          <w:color w:val="auto"/>
        </w:rPr>
        <w:t>4</w:t>
      </w:r>
      <w:r>
        <w:rPr>
          <w:rFonts w:hint="eastAsia" w:ascii="仿宋_GB2312" w:hAnsi="仿宋_GB2312" w:eastAsia="仿宋_GB2312" w:cs="仿宋_GB2312"/>
          <w:color w:val="auto"/>
        </w:rPr>
        <w:t>.</w:t>
      </w:r>
      <w:r>
        <w:rPr>
          <w:rFonts w:hint="eastAsia" w:ascii="Times New Roman" w:hAnsi="Times New Roman" w:eastAsia="仿宋_GB2312" w:cs="仿宋_GB2312"/>
          <w:color w:val="auto"/>
        </w:rPr>
        <w:t>5%</w:t>
      </w:r>
      <w:r>
        <w:rPr>
          <w:rFonts w:hint="eastAsia" w:ascii="仿宋_GB2312" w:hAnsi="仿宋_GB2312" w:eastAsia="仿宋_GB2312" w:cs="仿宋_GB2312"/>
          <w:color w:val="auto"/>
        </w:rPr>
        <w:t>以上，固定资产投资实现正增长，高技术产业投资增长</w:t>
      </w:r>
      <w:r>
        <w:rPr>
          <w:rFonts w:hint="eastAsia" w:ascii="Times New Roman" w:hAnsi="Times New Roman" w:eastAsia="仿宋_GB2312" w:cs="仿宋_GB2312"/>
          <w:color w:val="auto"/>
        </w:rPr>
        <w:t>3%</w:t>
      </w:r>
      <w:r>
        <w:rPr>
          <w:rFonts w:hint="eastAsia" w:ascii="仿宋_GB2312" w:hAnsi="仿宋_GB2312" w:eastAsia="仿宋_GB2312" w:cs="仿宋_GB2312"/>
          <w:color w:val="auto"/>
        </w:rPr>
        <w:t>，进出口总额增长</w:t>
      </w:r>
      <w:r>
        <w:rPr>
          <w:rFonts w:hint="eastAsia" w:ascii="Times New Roman" w:hAnsi="Times New Roman" w:eastAsia="仿宋_GB2312" w:cs="仿宋_GB2312"/>
          <w:color w:val="auto"/>
        </w:rPr>
        <w:t>3%</w:t>
      </w:r>
      <w:r>
        <w:rPr>
          <w:rFonts w:hint="eastAsia" w:ascii="仿宋_GB2312" w:hAnsi="仿宋_GB2312" w:eastAsia="仿宋_GB2312" w:cs="仿宋_GB2312"/>
          <w:color w:val="auto"/>
        </w:rPr>
        <w:t>，地方一般公共预算收入增长</w:t>
      </w:r>
      <w:r>
        <w:rPr>
          <w:rFonts w:hint="eastAsia" w:ascii="Times New Roman" w:hAnsi="Times New Roman" w:eastAsia="仿宋_GB2312" w:cs="仿宋_GB2312"/>
          <w:color w:val="auto"/>
        </w:rPr>
        <w:t>1</w:t>
      </w:r>
      <w:r>
        <w:rPr>
          <w:rFonts w:hint="eastAsia" w:ascii="仿宋_GB2312" w:hAnsi="仿宋_GB2312" w:eastAsia="仿宋_GB2312" w:cs="仿宋_GB2312"/>
          <w:color w:val="auto"/>
        </w:rPr>
        <w:t>.</w:t>
      </w:r>
      <w:r>
        <w:rPr>
          <w:rFonts w:hint="eastAsia" w:ascii="Times New Roman" w:hAnsi="Times New Roman" w:eastAsia="仿宋_GB2312" w:cs="仿宋_GB2312"/>
          <w:color w:val="auto"/>
        </w:rPr>
        <w:t>5%</w:t>
      </w:r>
      <w:r>
        <w:rPr>
          <w:rFonts w:hint="eastAsia" w:ascii="仿宋_GB2312" w:hAnsi="仿宋_GB2312" w:eastAsia="仿宋_GB2312" w:cs="仿宋_GB2312"/>
          <w:color w:val="auto"/>
        </w:rPr>
        <w:t>左右，常住人口城镇化率提高</w:t>
      </w:r>
      <w:r>
        <w:rPr>
          <w:rFonts w:hint="eastAsia" w:ascii="Times New Roman" w:hAnsi="Times New Roman" w:eastAsia="仿宋_GB2312" w:cs="仿宋_GB2312"/>
          <w:color w:val="auto"/>
        </w:rPr>
        <w:t>0</w:t>
      </w:r>
      <w:r>
        <w:rPr>
          <w:rFonts w:hint="eastAsia" w:ascii="仿宋_GB2312" w:hAnsi="仿宋_GB2312" w:eastAsia="仿宋_GB2312" w:cs="仿宋_GB2312"/>
          <w:color w:val="auto"/>
        </w:rPr>
        <w:t>.</w:t>
      </w:r>
      <w:r>
        <w:rPr>
          <w:rFonts w:hint="eastAsia" w:ascii="Times New Roman" w:hAnsi="Times New Roman" w:eastAsia="仿宋_GB2312" w:cs="仿宋_GB2312"/>
          <w:color w:val="auto"/>
        </w:rPr>
        <w:t>9</w:t>
      </w:r>
      <w:r>
        <w:rPr>
          <w:rFonts w:hint="eastAsia" w:ascii="仿宋_GB2312" w:hAnsi="仿宋_GB2312" w:eastAsia="仿宋_GB2312" w:cs="仿宋_GB2312"/>
          <w:color w:val="auto"/>
        </w:rPr>
        <w:t>个百分点以上，研发经费投入增长</w:t>
      </w:r>
      <w:r>
        <w:rPr>
          <w:rFonts w:hint="eastAsia" w:ascii="Times New Roman" w:hAnsi="Times New Roman" w:eastAsia="仿宋_GB2312" w:cs="仿宋_GB2312"/>
          <w:color w:val="auto"/>
        </w:rPr>
        <w:t>8%</w:t>
      </w:r>
      <w:r>
        <w:rPr>
          <w:rFonts w:hint="eastAsia" w:ascii="仿宋_GB2312" w:hAnsi="仿宋_GB2312" w:eastAsia="仿宋_GB2312" w:cs="仿宋_GB2312"/>
          <w:color w:val="auto"/>
        </w:rPr>
        <w:t>以上，居民收入增速高于经济增速，城镇新增就业</w:t>
      </w:r>
      <w:r>
        <w:rPr>
          <w:rFonts w:hint="eastAsia" w:ascii="Times New Roman" w:hAnsi="Times New Roman" w:eastAsia="仿宋_GB2312" w:cs="仿宋_GB2312"/>
          <w:color w:val="auto"/>
        </w:rPr>
        <w:t>70</w:t>
      </w:r>
      <w:r>
        <w:rPr>
          <w:rFonts w:hint="eastAsia" w:ascii="仿宋_GB2312" w:hAnsi="仿宋_GB2312" w:eastAsia="仿宋_GB2312" w:cs="仿宋_GB2312"/>
          <w:color w:val="auto"/>
        </w:rPr>
        <w:t>万人，城镇调查失业率控制在</w:t>
      </w:r>
      <w:r>
        <w:rPr>
          <w:rFonts w:hint="eastAsia" w:ascii="Times New Roman" w:hAnsi="Times New Roman" w:eastAsia="仿宋_GB2312" w:cs="仿宋_GB2312"/>
          <w:color w:val="auto"/>
        </w:rPr>
        <w:t>5</w:t>
      </w:r>
      <w:r>
        <w:rPr>
          <w:rFonts w:hint="eastAsia" w:ascii="仿宋_GB2312" w:hAnsi="仿宋_GB2312" w:eastAsia="仿宋_GB2312" w:cs="仿宋_GB2312"/>
          <w:color w:val="auto"/>
        </w:rPr>
        <w:t>.</w:t>
      </w:r>
      <w:r>
        <w:rPr>
          <w:rFonts w:hint="eastAsia" w:ascii="Times New Roman" w:hAnsi="Times New Roman" w:eastAsia="仿宋_GB2312" w:cs="仿宋_GB2312"/>
          <w:color w:val="auto"/>
        </w:rPr>
        <w:t>5%</w:t>
      </w:r>
      <w:r>
        <w:rPr>
          <w:rFonts w:hint="eastAsia" w:ascii="仿宋_GB2312" w:hAnsi="仿宋_GB2312" w:eastAsia="仿宋_GB2312" w:cs="仿宋_GB2312"/>
          <w:color w:val="auto"/>
        </w:rPr>
        <w:t>左右，居民消费价格涨幅</w:t>
      </w:r>
      <w:r>
        <w:rPr>
          <w:rFonts w:hint="eastAsia" w:ascii="Times New Roman" w:hAnsi="Times New Roman" w:eastAsia="仿宋_GB2312" w:cs="仿宋_GB2312"/>
          <w:color w:val="auto"/>
        </w:rPr>
        <w:t>2%</w:t>
      </w:r>
      <w:r>
        <w:rPr>
          <w:rFonts w:hint="eastAsia" w:ascii="仿宋_GB2312" w:hAnsi="仿宋_GB2312" w:eastAsia="仿宋_GB2312" w:cs="仿宋_GB2312"/>
          <w:color w:val="auto"/>
        </w:rPr>
        <w:t>左右，单位</w:t>
      </w:r>
      <w:r>
        <w:rPr>
          <w:rFonts w:hint="eastAsia" w:ascii="Times New Roman" w:hAnsi="Times New Roman" w:eastAsia="仿宋_GB2312" w:cs="仿宋_GB2312"/>
          <w:color w:val="auto"/>
        </w:rPr>
        <w:t>GDP</w:t>
      </w:r>
      <w:r>
        <w:rPr>
          <w:rFonts w:hint="eastAsia" w:ascii="仿宋_GB2312" w:hAnsi="仿宋_GB2312" w:eastAsia="仿宋_GB2312" w:cs="仿宋_GB2312"/>
          <w:color w:val="auto"/>
        </w:rPr>
        <w:t>二氧化碳排放和生态环境指标以国家下达任务为准，粮食产量</w:t>
      </w:r>
      <w:r>
        <w:rPr>
          <w:rFonts w:hint="eastAsia" w:ascii="Times New Roman" w:hAnsi="Times New Roman" w:eastAsia="仿宋_GB2312" w:cs="仿宋_GB2312"/>
          <w:color w:val="auto"/>
        </w:rPr>
        <w:t>615</w:t>
      </w:r>
      <w:r>
        <w:rPr>
          <w:rFonts w:hint="eastAsia" w:ascii="仿宋_GB2312" w:hAnsi="仿宋_GB2312" w:eastAsia="仿宋_GB2312" w:cs="仿宋_GB2312"/>
          <w:color w:val="auto"/>
        </w:rPr>
        <w:t>亿斤左右，生产安全事故死亡人数持续下降。</w:t>
      </w:r>
    </w:p>
    <w:p w14:paraId="6A10AF64">
      <w:pPr>
        <w:widowControl w:val="0"/>
        <w:adjustRightInd w:val="0"/>
        <w:snapToGrid w:val="0"/>
        <w:spacing w:line="600" w:lineRule="exact"/>
        <w:ind w:firstLine="640" w:firstLineChars="200"/>
        <w:rPr>
          <w:rFonts w:ascii="仿宋_GB2312" w:hAnsi="仿宋_GB2312" w:eastAsia="仿宋_GB2312" w:cs="仿宋_GB2312"/>
          <w:color w:val="auto"/>
        </w:rPr>
      </w:pPr>
      <w:r>
        <w:rPr>
          <w:rFonts w:hint="eastAsia" w:ascii="仿宋_GB2312" w:hAnsi="仿宋_GB2312" w:eastAsia="仿宋_GB2312" w:cs="仿宋_GB2312"/>
          <w:color w:val="auto"/>
        </w:rPr>
        <w:t>为实现上述目标，重点抓好以下九个方面的工作：</w:t>
      </w:r>
    </w:p>
    <w:p w14:paraId="58CDA6E3">
      <w:pPr>
        <w:widowControl w:val="0"/>
        <w:adjustRightInd w:val="0"/>
        <w:snapToGrid w:val="0"/>
        <w:spacing w:line="600" w:lineRule="exact"/>
        <w:ind w:firstLine="640" w:firstLineChars="200"/>
        <w:rPr>
          <w:rFonts w:ascii="黑体" w:hAnsi="黑体" w:eastAsia="黑体" w:cs="黑体"/>
          <w:color w:val="auto"/>
        </w:rPr>
      </w:pPr>
      <w:r>
        <w:rPr>
          <w:rFonts w:hint="eastAsia" w:ascii="黑体" w:hAnsi="黑体" w:eastAsia="黑体" w:cs="黑体"/>
          <w:color w:val="auto"/>
        </w:rPr>
        <w:t>一、深挖潜力拓展内需增长空间</w:t>
      </w:r>
    </w:p>
    <w:p w14:paraId="19EFE04A">
      <w:pPr>
        <w:widowControl w:val="0"/>
        <w:adjustRightInd w:val="0"/>
        <w:snapToGrid w:val="0"/>
        <w:spacing w:line="600" w:lineRule="exact"/>
        <w:ind w:firstLine="643" w:firstLineChars="200"/>
        <w:rPr>
          <w:rFonts w:ascii="仿宋_GB2312" w:hAnsi="仿宋_GB2312" w:eastAsia="仿宋_GB2312" w:cs="仿宋_GB2312"/>
          <w:color w:val="auto"/>
        </w:rPr>
      </w:pPr>
      <w:r>
        <w:rPr>
          <w:rFonts w:hint="eastAsia" w:ascii="楷体_GB2312" w:hAnsi="楷体_GB2312" w:eastAsia="楷体_GB2312" w:cs="楷体_GB2312"/>
          <w:b/>
          <w:bCs/>
          <w:color w:val="auto"/>
        </w:rPr>
        <w:t>深入实施提振消费专项行动。</w:t>
      </w:r>
      <w:r>
        <w:rPr>
          <w:rFonts w:hint="eastAsia" w:ascii="仿宋_GB2312" w:hAnsi="仿宋_GB2312" w:eastAsia="仿宋_GB2312" w:cs="仿宋_GB2312"/>
          <w:color w:val="auto"/>
        </w:rPr>
        <w:t>统筹推进提升消费能力、释放消费意愿、优化消费环境、解决消费堵点等重点工作。优化实施消费品以旧换新政策，稳住汽车、家电等大宗商品消费，严厉打击骗补套补行为。持续拓展养老、托育、家政、餐饮等生活服务消费，挖掘银发、入境、国潮、体育等领域消费潜力，培育首发经济、“人工智能+消费”等消费新热点。积极支持线下实体零售，打造多元消费场景，推动线上线下均衡发展。持续办好旅发大会、“湘超”联赛、明星演唱会、小剧场等文旅体育活动。建设大张家界国际旅游区，打造入境旅游第二站。清理优化消费领域限制性措施，破除制约消费的堵点卡点。加大消费者权益保护力度，加强直播带货等领域监管。</w:t>
      </w:r>
      <w:r>
        <w:rPr>
          <w:rFonts w:hint="eastAsia" w:ascii="楷体_GB2312" w:hAnsi="楷体_GB2312" w:eastAsia="楷体_GB2312" w:cs="楷体_GB2312"/>
          <w:b/>
          <w:bCs/>
          <w:color w:val="auto"/>
        </w:rPr>
        <w:t>着力扩大有效益的投资。</w:t>
      </w:r>
      <w:r>
        <w:rPr>
          <w:rFonts w:hint="eastAsia" w:ascii="仿宋_GB2312" w:hAnsi="仿宋_GB2312" w:eastAsia="仿宋_GB2312" w:cs="仿宋_GB2312"/>
          <w:color w:val="auto"/>
        </w:rPr>
        <w:t>坚持投资于物和投资于人紧密结合，扩大对实体经济和科技创新的有效投资，加强人力资源开发和人的全面发展投资。强化重大项目要素保障和服务，优化推进“五比五提”行动，以省重点项目和中央“四类”资金项目为重点，以“十大基础设施项目”为引领，加快推进邵永、铜吉、长赣、宜常铁路，长沙机场改扩建、</w:t>
      </w:r>
      <w:r>
        <w:rPr>
          <w:rFonts w:hint="eastAsia" w:ascii="Times New Roman" w:hAnsi="Times New Roman" w:eastAsia="仿宋_GB2312" w:cs="仿宋_GB2312"/>
          <w:color w:val="auto"/>
        </w:rPr>
        <w:t>G4</w:t>
      </w:r>
      <w:r>
        <w:rPr>
          <w:rFonts w:hint="eastAsia" w:ascii="仿宋_GB2312" w:hAnsi="仿宋_GB2312" w:eastAsia="仿宋_GB2312" w:cs="仿宋_GB2312"/>
          <w:color w:val="auto"/>
        </w:rPr>
        <w:t>高速扩容、金塘冲水库、梅山灌区等在建项目，全力推动永清广铁路、黔吉铁路、长株城际、长沙地铁</w:t>
      </w:r>
      <w:r>
        <w:rPr>
          <w:rFonts w:hint="eastAsia" w:ascii="Times New Roman" w:hAnsi="Times New Roman" w:eastAsia="仿宋_GB2312" w:cs="仿宋_GB2312"/>
          <w:color w:val="auto"/>
        </w:rPr>
        <w:t>5</w:t>
      </w:r>
      <w:r>
        <w:rPr>
          <w:rFonts w:hint="eastAsia" w:ascii="仿宋_GB2312" w:hAnsi="仿宋_GB2312" w:eastAsia="仿宋_GB2312" w:cs="仿宋_GB2312"/>
          <w:color w:val="auto"/>
        </w:rPr>
        <w:t>号线延长线等项目尽快开工建设，加快益娄、澧张、衡柳、常岳九铁路和洞庭湖四口水系综合整治、宜冲桥水库等重大项目前期工作，深化怀桂、长九、长沙西至沪昆高铁连接线、兴永郴赣、衡井吉铁路前期研究。积极盘活存量资产，推动闲置低效资产改造转型，提高再投资能力。落实落细国家促进民间投资</w:t>
      </w:r>
      <w:r>
        <w:rPr>
          <w:rFonts w:hint="eastAsia" w:ascii="Times New Roman" w:hAnsi="Times New Roman" w:eastAsia="仿宋_GB2312" w:cs="仿宋_GB2312"/>
          <w:color w:val="auto"/>
        </w:rPr>
        <w:t>13</w:t>
      </w:r>
      <w:r>
        <w:rPr>
          <w:rFonts w:hint="eastAsia" w:ascii="仿宋_GB2312" w:hAnsi="仿宋_GB2312" w:eastAsia="仿宋_GB2312" w:cs="仿宋_GB2312"/>
          <w:color w:val="auto"/>
        </w:rPr>
        <w:t>条政策举措，建立支持民间资本参与重大项目建设长效机制。</w:t>
      </w:r>
      <w:r>
        <w:rPr>
          <w:rFonts w:hint="eastAsia" w:ascii="楷体_GB2312" w:hAnsi="楷体_GB2312" w:eastAsia="楷体_GB2312" w:cs="楷体_GB2312"/>
          <w:b/>
          <w:bCs/>
          <w:color w:val="auto"/>
        </w:rPr>
        <w:t>积极抢抓国家政策机遇。</w:t>
      </w:r>
      <w:r>
        <w:rPr>
          <w:rFonts w:hint="eastAsia" w:ascii="仿宋_GB2312" w:hAnsi="仿宋_GB2312" w:eastAsia="仿宋_GB2312" w:cs="仿宋_GB2312"/>
          <w:color w:val="auto"/>
        </w:rPr>
        <w:t>精准梳理国家政策支持的重点和申报要求，结合湖南实际靶向对接，确保政策快速落地、高效转化。持续开展宏观政策取向一致性评估。深入开展“项目大谋划、谋划大项目”行动，聚焦“两重”、中央预算内、专项债券、新型政策性金融工具等投向，扎实开展项目预审和政策指导，分级分类加强项目储备，确保申报项目达到初步设计深度。持续做好专项债券项目“自审自发”试点工作。管好用好各类中央资金，严格落实专户管理、专款专用等刚性要求，防止资金挤占挪用。</w:t>
      </w:r>
      <w:r>
        <w:rPr>
          <w:rFonts w:hint="eastAsia" w:ascii="仿宋_GB2312" w:hAnsi="仿宋_GB2312" w:eastAsia="仿宋_GB2312" w:cs="仿宋_GB2312"/>
          <w:color w:val="auto"/>
          <w:kern w:val="2"/>
        </w:rPr>
        <w:t>探索建立银行等金融机构参与政府投资项目研究论证机制，建立“金芙蓉”投资基金备投项目库，多渠道补充重大项目资本金。</w:t>
      </w:r>
    </w:p>
    <w:p w14:paraId="1980F7D8">
      <w:pPr>
        <w:widowControl w:val="0"/>
        <w:adjustRightInd w:val="0"/>
        <w:snapToGrid w:val="0"/>
        <w:spacing w:line="600" w:lineRule="exact"/>
        <w:ind w:firstLine="640" w:firstLineChars="200"/>
        <w:rPr>
          <w:rFonts w:ascii="黑体" w:hAnsi="黑体" w:eastAsia="黑体" w:cs="黑体"/>
          <w:color w:val="auto"/>
        </w:rPr>
      </w:pPr>
      <w:r>
        <w:rPr>
          <w:rFonts w:hint="eastAsia" w:ascii="黑体" w:hAnsi="黑体" w:eastAsia="黑体" w:cs="黑体"/>
          <w:color w:val="auto"/>
        </w:rPr>
        <w:t>二、因地制宜加快发展新质生产力</w:t>
      </w:r>
    </w:p>
    <w:p w14:paraId="393A3506">
      <w:pPr>
        <w:widowControl w:val="0"/>
        <w:adjustRightInd w:val="0"/>
        <w:snapToGrid w:val="0"/>
        <w:spacing w:line="600" w:lineRule="exact"/>
        <w:ind w:firstLine="643" w:firstLineChars="200"/>
        <w:rPr>
          <w:rFonts w:ascii="仿宋_GB2312" w:hAnsi="仿宋_GB2312" w:eastAsia="仿宋_GB2312" w:cs="仿宋_GB2312"/>
          <w:color w:val="auto"/>
        </w:rPr>
      </w:pPr>
      <w:r>
        <w:rPr>
          <w:rFonts w:hint="eastAsia" w:ascii="楷体_GB2312" w:hAnsi="楷体_GB2312" w:eastAsia="楷体_GB2312" w:cs="楷体_GB2312"/>
          <w:b/>
          <w:bCs/>
          <w:color w:val="auto"/>
        </w:rPr>
        <w:t>推动重点产业提质升级。</w:t>
      </w:r>
      <w:r>
        <w:rPr>
          <w:rFonts w:hint="eastAsia" w:ascii="仿宋_GB2312" w:hAnsi="仿宋_GB2312" w:eastAsia="仿宋_GB2312" w:cs="仿宋_GB2312"/>
          <w:color w:val="auto"/>
        </w:rPr>
        <w:t>深入实施重点产业倍增计划，加快培育壮大“</w:t>
      </w:r>
      <w:r>
        <w:rPr>
          <w:rFonts w:hint="eastAsia" w:ascii="Times New Roman" w:hAnsi="Times New Roman" w:eastAsia="仿宋_GB2312" w:cs="仿宋_GB2312"/>
          <w:color w:val="auto"/>
        </w:rPr>
        <w:t>5</w:t>
      </w:r>
      <w:r>
        <w:rPr>
          <w:rFonts w:hint="eastAsia" w:ascii="仿宋_GB2312" w:hAnsi="仿宋_GB2312" w:eastAsia="仿宋_GB2312" w:cs="仿宋_GB2312"/>
          <w:color w:val="auto"/>
        </w:rPr>
        <w:t>+</w:t>
      </w:r>
      <w:r>
        <w:rPr>
          <w:rFonts w:hint="eastAsia" w:ascii="Times New Roman" w:hAnsi="Times New Roman" w:eastAsia="仿宋_GB2312" w:cs="仿宋_GB2312"/>
          <w:color w:val="auto"/>
        </w:rPr>
        <w:t>5</w:t>
      </w:r>
      <w:r>
        <w:rPr>
          <w:rFonts w:hint="eastAsia" w:ascii="仿宋_GB2312" w:hAnsi="仿宋_GB2312" w:eastAsia="仿宋_GB2312" w:cs="仿宋_GB2312"/>
          <w:color w:val="auto"/>
        </w:rPr>
        <w:t>”先进制造业集群，推动工程机械、轨道交通装备等优势产业提质增效，进一步完善产业配套体系，着力提高制造业占</w:t>
      </w:r>
      <w:r>
        <w:rPr>
          <w:rFonts w:hint="eastAsia" w:ascii="Times New Roman" w:hAnsi="Times New Roman" w:eastAsia="仿宋_GB2312" w:cs="仿宋_GB2312"/>
          <w:color w:val="auto"/>
        </w:rPr>
        <w:t>GDP</w:t>
      </w:r>
      <w:r>
        <w:rPr>
          <w:rFonts w:hint="eastAsia" w:ascii="仿宋_GB2312" w:hAnsi="仿宋_GB2312" w:eastAsia="仿宋_GB2312" w:cs="仿宋_GB2312"/>
          <w:color w:val="auto"/>
        </w:rPr>
        <w:t>比重、先进制造业占制造业比重。实施新一轮重点产业链高质量发展行动，运用先进技术促进石化、有色、食品、轻纺等传统产业转型升级。加强重点产业产能治理，因业施策推进落后产能退出与新增优质产能平稳接续。</w:t>
      </w:r>
      <w:r>
        <w:rPr>
          <w:rFonts w:hint="eastAsia" w:ascii="楷体_GB2312" w:hAnsi="楷体_GB2312" w:eastAsia="楷体_GB2312" w:cs="楷体_GB2312"/>
          <w:b/>
          <w:bCs/>
          <w:color w:val="auto"/>
        </w:rPr>
        <w:t>加紧培育壮大新动能。</w:t>
      </w:r>
      <w:r>
        <w:rPr>
          <w:rFonts w:hint="eastAsia" w:ascii="仿宋_GB2312" w:hAnsi="仿宋_GB2312" w:eastAsia="仿宋_GB2312" w:cs="仿宋_GB2312"/>
          <w:color w:val="auto"/>
        </w:rPr>
        <w:t>加快发展音视频、大飞机、北斗、智能衡器计量、快速磁浮等新兴产业，争创国家新型工业化示范区和国家新兴产业发展示范基地，加强对交叉学科前沿领域的支持。加强对重大产业项目的跟进服务，着力推动长沙宁乡圣钘科技新一代锂电池、浏阳蓝思科技</w:t>
      </w:r>
      <w:r>
        <w:rPr>
          <w:rFonts w:hint="eastAsia" w:ascii="Times New Roman" w:hAnsi="Times New Roman" w:eastAsia="仿宋_GB2312" w:cs="仿宋_GB2312"/>
          <w:color w:val="auto"/>
        </w:rPr>
        <w:t>3D</w:t>
      </w:r>
      <w:r>
        <w:rPr>
          <w:rFonts w:hint="eastAsia" w:ascii="仿宋_GB2312" w:hAnsi="仿宋_GB2312" w:eastAsia="仿宋_GB2312" w:cs="仿宋_GB2312"/>
          <w:color w:val="auto"/>
        </w:rPr>
        <w:t>玻璃研发生产、郴州新能源动力和储能、娄底高性能软磁和钛材料等“十大产业项目”建设。纵深推进“智赋万企”行动，梯度培育智能工厂，加快制造业新型技术改造、中小企业数字化转型试点建设，推动制造业智能化、绿色化、融合化发展。前瞻布局人工智能、生命工程、量子科技、前沿材料等未来产业。深入实施“人工智能+”行动，打造一批示范性强、显示度高、带动性广的人工智能应用场景，高水平建设国家数据要素综合试验区。探索建立未来产业投入增长和风险分担机制。</w:t>
      </w:r>
      <w:r>
        <w:rPr>
          <w:rFonts w:hint="eastAsia" w:ascii="楷体_GB2312" w:hAnsi="楷体_GB2312" w:eastAsia="楷体_GB2312" w:cs="楷体_GB2312"/>
          <w:b/>
          <w:bCs/>
          <w:color w:val="auto"/>
        </w:rPr>
        <w:t>加快服务业高质量发展。</w:t>
      </w:r>
      <w:r>
        <w:rPr>
          <w:rFonts w:hint="eastAsia" w:ascii="仿宋_GB2312" w:hAnsi="仿宋_GB2312" w:eastAsia="仿宋_GB2312" w:cs="仿宋_GB2312"/>
          <w:color w:val="auto"/>
        </w:rPr>
        <w:t>实施湖南省服务业扩能提质行动。深入推动“两业融合共进”行动，积极争创国家级两业融合区域试点。加快发展生产性服务业，推动新型专业化服务机构集聚发展，加快发展工业互联网、楼宇经济和总部经济。大力发展银发经济。积极推动质量基础设施建设，加强服务标准和质量品牌建设。建设省物流公共信息平台</w:t>
      </w:r>
      <w:r>
        <w:rPr>
          <w:rFonts w:hint="eastAsia" w:ascii="楷体_GB2312" w:hAnsi="楷体_GB2312" w:eastAsia="楷体_GB2312" w:cs="楷体_GB2312"/>
          <w:color w:val="auto"/>
        </w:rPr>
        <w:t>。</w:t>
      </w:r>
      <w:r>
        <w:rPr>
          <w:rFonts w:hint="eastAsia" w:ascii="楷体_GB2312" w:hAnsi="楷体_GB2312" w:eastAsia="楷体_GB2312" w:cs="楷体_GB2312"/>
          <w:b/>
          <w:bCs/>
          <w:color w:val="auto"/>
        </w:rPr>
        <w:t>提升产业园区发展质量。</w:t>
      </w:r>
      <w:r>
        <w:rPr>
          <w:rFonts w:hint="eastAsia" w:ascii="仿宋_GB2312" w:hAnsi="仿宋_GB2312" w:eastAsia="仿宋_GB2312" w:cs="仿宋_GB2312"/>
          <w:color w:val="auto"/>
        </w:rPr>
        <w:t>持续深化园区管理体制改革，完善“飞地园区”跨区域利益分享和产业协作机制。推动园区闲置资产清查处置，实施园区用地专项治理行动。做好开发区统计和综合评价国家试点相关工作。调整优化园区主特产业指导目录，建立产业园区规划联审机制。</w:t>
      </w:r>
    </w:p>
    <w:p w14:paraId="244C1845">
      <w:pPr>
        <w:widowControl w:val="0"/>
        <w:adjustRightInd w:val="0"/>
        <w:snapToGrid w:val="0"/>
        <w:spacing w:line="600" w:lineRule="exact"/>
        <w:ind w:firstLine="640" w:firstLineChars="200"/>
        <w:rPr>
          <w:rFonts w:ascii="黑体" w:hAnsi="黑体" w:eastAsia="黑体" w:cs="黑体"/>
          <w:color w:val="auto"/>
        </w:rPr>
      </w:pPr>
      <w:r>
        <w:rPr>
          <w:rFonts w:hint="eastAsia" w:ascii="黑体" w:hAnsi="黑体" w:eastAsia="黑体" w:cs="黑体"/>
          <w:color w:val="auto"/>
        </w:rPr>
        <w:t>三、全面增强创新创造动力活力</w:t>
      </w:r>
    </w:p>
    <w:p w14:paraId="63AA848C">
      <w:pPr>
        <w:widowControl w:val="0"/>
        <w:adjustRightInd w:val="0"/>
        <w:snapToGrid w:val="0"/>
        <w:spacing w:line="600" w:lineRule="exact"/>
        <w:ind w:firstLine="643" w:firstLineChars="200"/>
        <w:rPr>
          <w:rFonts w:ascii="仿宋_GB2312" w:hAnsi="仿宋_GB2312" w:eastAsia="仿宋_GB2312" w:cs="仿宋_GB2312"/>
          <w:color w:val="auto"/>
        </w:rPr>
      </w:pPr>
      <w:r>
        <w:rPr>
          <w:rFonts w:hint="eastAsia" w:ascii="楷体_GB2312" w:hAnsi="楷体_GB2312" w:eastAsia="楷体_GB2312" w:cs="楷体_GB2312"/>
          <w:b/>
          <w:bCs/>
          <w:color w:val="auto"/>
        </w:rPr>
        <w:t>提升创新平台能级。</w:t>
      </w:r>
      <w:r>
        <w:rPr>
          <w:rFonts w:hint="eastAsia" w:ascii="仿宋_GB2312" w:hAnsi="仿宋_GB2312" w:eastAsia="仿宋_GB2312" w:cs="仿宋_GB2312"/>
          <w:color w:val="auto"/>
        </w:rPr>
        <w:t>加快打造高能级创新平台矩阵，持续推进中药材种质资源库建设，推动中国科学院在湘布局研究机构落地。优化“</w:t>
      </w:r>
      <w:r>
        <w:rPr>
          <w:rFonts w:hint="eastAsia" w:ascii="Times New Roman" w:hAnsi="Times New Roman" w:eastAsia="仿宋_GB2312" w:cs="仿宋_GB2312"/>
          <w:color w:val="auto"/>
        </w:rPr>
        <w:t>4</w:t>
      </w:r>
      <w:r>
        <w:rPr>
          <w:rFonts w:hint="eastAsia" w:ascii="仿宋_GB2312" w:hAnsi="仿宋_GB2312" w:eastAsia="仿宋_GB2312" w:cs="仿宋_GB2312"/>
          <w:color w:val="auto"/>
        </w:rPr>
        <w:t>+</w:t>
      </w:r>
      <w:r>
        <w:rPr>
          <w:rFonts w:hint="eastAsia" w:ascii="Times New Roman" w:hAnsi="Times New Roman" w:eastAsia="仿宋_GB2312" w:cs="仿宋_GB2312"/>
          <w:color w:val="auto"/>
        </w:rPr>
        <w:t>4</w:t>
      </w:r>
      <w:r>
        <w:rPr>
          <w:rFonts w:hint="eastAsia" w:ascii="仿宋_GB2312" w:hAnsi="仿宋_GB2312" w:eastAsia="仿宋_GB2312" w:cs="仿宋_GB2312"/>
          <w:color w:val="auto"/>
        </w:rPr>
        <w:t>科创工程”功能定位和主攻方向，培育文化科技领域国家级创新平台。加快长沙全球研发中心城市建设，力争引进五类研发企业（中心）</w:t>
      </w:r>
      <w:r>
        <w:rPr>
          <w:rFonts w:hint="eastAsia" w:ascii="Times New Roman" w:hAnsi="Times New Roman" w:eastAsia="仿宋_GB2312" w:cs="仿宋_GB2312"/>
          <w:color w:val="auto"/>
        </w:rPr>
        <w:t>200</w:t>
      </w:r>
      <w:r>
        <w:rPr>
          <w:rFonts w:hint="eastAsia" w:ascii="仿宋_GB2312" w:hAnsi="仿宋_GB2312" w:eastAsia="仿宋_GB2312" w:cs="仿宋_GB2312"/>
          <w:color w:val="auto"/>
        </w:rPr>
        <w:t>家以上。</w:t>
      </w:r>
      <w:r>
        <w:rPr>
          <w:rFonts w:hint="eastAsia" w:ascii="楷体_GB2312" w:hAnsi="楷体_GB2312" w:eastAsia="楷体_GB2312" w:cs="楷体_GB2312"/>
          <w:b/>
          <w:bCs/>
          <w:color w:val="auto"/>
        </w:rPr>
        <w:t>加大关键核心技术攻关力度。</w:t>
      </w:r>
      <w:r>
        <w:rPr>
          <w:rFonts w:hint="eastAsia" w:ascii="仿宋_GB2312" w:hAnsi="仿宋_GB2312" w:eastAsia="仿宋_GB2312" w:cs="仿宋_GB2312"/>
          <w:color w:val="auto"/>
        </w:rPr>
        <w:t>接续实施“十大技术攻关项目”，力争产出</w:t>
      </w:r>
      <w:r>
        <w:rPr>
          <w:rFonts w:hint="eastAsia" w:ascii="仿宋_GB2312" w:hAnsi="仿宋_GB2312" w:eastAsia="仿宋_GB2312" w:cs="仿宋_GB2312"/>
          <w:color w:val="auto"/>
          <w:lang w:val="zh-CN"/>
        </w:rPr>
        <w:t>一批填补空白的</w:t>
      </w:r>
      <w:r>
        <w:rPr>
          <w:rFonts w:hint="eastAsia" w:ascii="仿宋_GB2312" w:hAnsi="仿宋_GB2312" w:eastAsia="仿宋_GB2312" w:cs="仿宋_GB2312"/>
          <w:color w:val="auto"/>
        </w:rPr>
        <w:t>突破性、标志性重大成果</w:t>
      </w:r>
      <w:r>
        <w:rPr>
          <w:rFonts w:hint="eastAsia" w:ascii="仿宋_GB2312" w:hAnsi="仿宋_GB2312" w:eastAsia="仿宋_GB2312" w:cs="仿宋_GB2312"/>
          <w:color w:val="auto"/>
          <w:lang w:val="zh-CN"/>
        </w:rPr>
        <w:t>。</w:t>
      </w:r>
      <w:r>
        <w:rPr>
          <w:rFonts w:hint="eastAsia" w:ascii="仿宋_GB2312" w:hAnsi="仿宋_GB2312" w:eastAsia="仿宋_GB2312" w:cs="仿宋_GB2312"/>
          <w:color w:val="auto"/>
        </w:rPr>
        <w:t>强化企业科技创新主体地位，培育壮大科技型企业。积极创建长株潭国家科技成果转移转化示范区，布局建设一批中试基地和概念验证中心。打造麓山科技金融大会品牌，引导资本投早、投小、投长期、投硬科技。</w:t>
      </w:r>
      <w:r>
        <w:rPr>
          <w:rFonts w:hint="eastAsia" w:ascii="楷体_GB2312" w:hAnsi="楷体_GB2312" w:eastAsia="楷体_GB2312" w:cs="楷体_GB2312"/>
          <w:b/>
          <w:bCs/>
          <w:color w:val="auto"/>
        </w:rPr>
        <w:t>推进教育科技人才一体发展。</w:t>
      </w:r>
      <w:r>
        <w:rPr>
          <w:rFonts w:hint="eastAsia" w:ascii="仿宋_GB2312" w:hAnsi="仿宋_GB2312" w:eastAsia="仿宋_GB2312" w:cs="仿宋_GB2312"/>
          <w:color w:val="auto"/>
        </w:rPr>
        <w:t>深入实施“芙蓉计划”，推进“湘智兴湘”行动，坚持人才、平台、项目一体化配置，构建顶尖科学家、科技领军人才、青年科技人才梯次成长的人才体系。发挥“四大实验室”等高能级平台引才聚才作用，做大科技人才总量。深化科技人才评价改革，鼓励企业参与人才引进培养，畅通高校、科研院所、企业人才双向交流通道。</w:t>
      </w:r>
    </w:p>
    <w:p w14:paraId="1E8260CA">
      <w:pPr>
        <w:widowControl w:val="0"/>
        <w:adjustRightInd w:val="0"/>
        <w:snapToGrid w:val="0"/>
        <w:spacing w:line="600" w:lineRule="exact"/>
        <w:ind w:firstLine="640" w:firstLineChars="200"/>
        <w:rPr>
          <w:rFonts w:ascii="黑体" w:hAnsi="黑体" w:eastAsia="黑体" w:cs="黑体"/>
          <w:color w:val="auto"/>
        </w:rPr>
      </w:pPr>
      <w:r>
        <w:rPr>
          <w:rFonts w:hint="eastAsia" w:ascii="黑体" w:hAnsi="黑体" w:eastAsia="黑体" w:cs="黑体"/>
          <w:color w:val="auto"/>
        </w:rPr>
        <w:t>四、推进深层次改革和高水平开放</w:t>
      </w:r>
    </w:p>
    <w:p w14:paraId="186146A0">
      <w:pPr>
        <w:widowControl w:val="0"/>
        <w:adjustRightInd w:val="0"/>
        <w:snapToGrid w:val="0"/>
        <w:spacing w:line="600" w:lineRule="exact"/>
        <w:ind w:firstLine="643" w:firstLineChars="200"/>
        <w:rPr>
          <w:rFonts w:ascii="仿宋_GB2312" w:hAnsi="仿宋_GB2312" w:eastAsia="仿宋_GB2312" w:cs="仿宋_GB2312"/>
          <w:color w:val="auto"/>
        </w:rPr>
      </w:pPr>
      <w:r>
        <w:rPr>
          <w:rFonts w:hint="eastAsia" w:ascii="楷体_GB2312" w:hAnsi="楷体_GB2312" w:eastAsia="楷体_GB2312" w:cs="楷体_GB2312"/>
          <w:b/>
          <w:bCs/>
          <w:color w:val="auto"/>
        </w:rPr>
        <w:t>加快推动重点领域改革。</w:t>
      </w:r>
      <w:r>
        <w:rPr>
          <w:rFonts w:hint="eastAsia" w:ascii="仿宋_GB2312" w:hAnsi="仿宋_GB2312" w:eastAsia="仿宋_GB2312" w:cs="仿宋_GB2312"/>
          <w:color w:val="auto"/>
        </w:rPr>
        <w:t>深化长株潭要素市场化配置综合改革试点，围绕重大项目、新兴产业推进“准入、场景、要素”协同改革。加快应用场景培育和开放，发布“场景机会、场景能力、场景示范”三张清单，建立场景供需对接长效机制，支持重点领域、重点区域在场景培育开放上先行先试。纵深推进全国统一大市场建设，严格落实市场准入负面清单制度，全面开展市场准入效能评估，常态化开展市场准入壁垒清理行动。推进零基预算改革提质升级行动。加快社会信用体系建设，推动信用与发展各个环节深度融合。坚定推动“机器管招投标”，持续优化制度体系和系统功能。持续推进国有“三资”管理改革提升三年行动。进一步深化国资国企改革，推动国有资本和国有企业做强做优做大。</w:t>
      </w:r>
      <w:r>
        <w:rPr>
          <w:rFonts w:hint="eastAsia" w:ascii="楷体_GB2312" w:hAnsi="楷体_GB2312" w:eastAsia="楷体_GB2312" w:cs="楷体_GB2312"/>
          <w:b/>
          <w:bCs/>
          <w:color w:val="auto"/>
        </w:rPr>
        <w:t>提升民营经济服务水平。</w:t>
      </w:r>
      <w:r>
        <w:rPr>
          <w:rFonts w:hint="eastAsia" w:ascii="仿宋_GB2312" w:hAnsi="仿宋_GB2312" w:eastAsia="仿宋_GB2312" w:cs="仿宋_GB2312"/>
          <w:color w:val="auto"/>
        </w:rPr>
        <w:t>推动出台湖南省促进民营经济发展地方性法规，部署全省促进民营经济发展壮大暨“企业服务年”行动。巩固和深化涉民营企业政策“三个一批”清理工作成果。健全与民营企业的常态化沟通交流机制，畅通企业诉求反映和权益保障渠道。</w:t>
      </w:r>
      <w:r>
        <w:rPr>
          <w:rFonts w:hint="eastAsia" w:ascii="楷体_GB2312" w:hAnsi="楷体_GB2312" w:eastAsia="楷体_GB2312" w:cs="楷体_GB2312"/>
          <w:b/>
          <w:bCs/>
          <w:color w:val="auto"/>
        </w:rPr>
        <w:t>加快建设一流营商环境。</w:t>
      </w:r>
      <w:r>
        <w:rPr>
          <w:rFonts w:hint="eastAsia" w:ascii="仿宋_GB2312" w:hAnsi="仿宋_GB2312" w:eastAsia="仿宋_GB2312" w:cs="仿宋_GB2312"/>
          <w:color w:val="auto"/>
        </w:rPr>
        <w:t>常态长效开展“走找想促”“送解优”行动，聚焦重点领域开展营商环境改革创新。全面建成“湖南营商网暨营商环境无感监测系统”，提高数字营商建设水平和服务能力。</w:t>
      </w:r>
      <w:r>
        <w:rPr>
          <w:rFonts w:hint="eastAsia" w:ascii="仿宋_GB2312" w:hAnsi="仿宋_GB2312" w:eastAsia="仿宋_GB2312" w:cs="仿宋_GB2312"/>
          <w:color w:val="auto"/>
          <w:kern w:val="2"/>
        </w:rPr>
        <w:t>用好典型案例通报机制，推动解决更多营商环境领域体制机制障碍和制度性难题。</w:t>
      </w:r>
      <w:r>
        <w:rPr>
          <w:rFonts w:hint="eastAsia" w:ascii="仿宋_GB2312" w:hAnsi="仿宋_GB2312" w:eastAsia="仿宋_GB2312" w:cs="仿宋_GB2312"/>
          <w:color w:val="auto"/>
        </w:rPr>
        <w:t>开展“法治护航”行动，规范涉企行政执法。加快清理拖欠企业账款。坚持以降低企业综合运营成本为主攻方向，在用地、融资、用工、用能、物流、技术等方面打造综合成本优势。深化政务数据共享。</w:t>
      </w:r>
      <w:r>
        <w:rPr>
          <w:rFonts w:hint="eastAsia" w:ascii="楷体_GB2312" w:hAnsi="楷体_GB2312" w:eastAsia="楷体_GB2312" w:cs="楷体_GB2312"/>
          <w:b/>
          <w:bCs/>
          <w:color w:val="auto"/>
        </w:rPr>
        <w:t>推动外贸外资高质量发展。</w:t>
      </w:r>
      <w:r>
        <w:rPr>
          <w:rFonts w:hint="eastAsia" w:ascii="仿宋_GB2312" w:hAnsi="仿宋_GB2312" w:eastAsia="仿宋_GB2312" w:cs="仿宋_GB2312"/>
          <w:color w:val="auto"/>
        </w:rPr>
        <w:t>稳住欧美市场，加快开拓非洲、东盟、中东等“一带一路”新兴市场。探索直购进出口、跨境电商</w:t>
      </w:r>
      <w:r>
        <w:rPr>
          <w:rFonts w:hint="eastAsia" w:ascii="Times New Roman" w:hAnsi="Times New Roman" w:eastAsia="仿宋_GB2312" w:cs="仿宋_GB2312"/>
          <w:color w:val="auto"/>
        </w:rPr>
        <w:t>B2B</w:t>
      </w:r>
      <w:r>
        <w:rPr>
          <w:rFonts w:hint="eastAsia" w:ascii="仿宋_GB2312" w:hAnsi="仿宋_GB2312" w:eastAsia="仿宋_GB2312" w:cs="仿宋_GB2312"/>
          <w:color w:val="auto"/>
        </w:rPr>
        <w:t>、境外企业产品离岸经营转口贸易等模式。推动自贸试验区与中非经贸深度合作先行区“双区联动”。办好中非经贸博览会走进非洲系列活动，深化产工贸一体化、海外仓、易货贸易等领域合作。加强“五大国际贸易通道”互联互通，打造长岳临空经济示范区和岳阳航空货运枢纽。统筹推进招引新企业与支持存量企业扩能升级，不断擦亮“湘商回归”“校友回湘”招商品牌。创新开展全球招商活动，强化对欧盟、东亚等重点区域精准招商。</w:t>
      </w:r>
    </w:p>
    <w:p w14:paraId="3F69B1CB">
      <w:pPr>
        <w:widowControl w:val="0"/>
        <w:adjustRightInd w:val="0"/>
        <w:snapToGrid w:val="0"/>
        <w:spacing w:line="600" w:lineRule="exact"/>
        <w:ind w:firstLine="640" w:firstLineChars="200"/>
        <w:rPr>
          <w:rFonts w:ascii="黑体" w:hAnsi="黑体" w:eastAsia="黑体" w:cs="黑体"/>
          <w:color w:val="auto"/>
        </w:rPr>
      </w:pPr>
      <w:r>
        <w:rPr>
          <w:rFonts w:hint="eastAsia" w:ascii="黑体" w:hAnsi="黑体" w:eastAsia="黑体" w:cs="黑体"/>
          <w:color w:val="auto"/>
        </w:rPr>
        <w:t>五、加快推进农业农村现代化</w:t>
      </w:r>
    </w:p>
    <w:p w14:paraId="4AD4B50B">
      <w:pPr>
        <w:widowControl w:val="0"/>
        <w:adjustRightInd w:val="0"/>
        <w:snapToGrid w:val="0"/>
        <w:spacing w:line="600" w:lineRule="exact"/>
        <w:ind w:firstLine="643" w:firstLineChars="200"/>
        <w:rPr>
          <w:rFonts w:ascii="仿宋_GB2312" w:hAnsi="仿宋_GB2312" w:eastAsia="仿宋_GB2312" w:cs="仿宋_GB2312"/>
          <w:color w:val="auto"/>
        </w:rPr>
      </w:pPr>
      <w:r>
        <w:rPr>
          <w:rFonts w:hint="eastAsia" w:ascii="楷体_GB2312" w:hAnsi="楷体_GB2312" w:eastAsia="楷体_GB2312" w:cs="楷体_GB2312"/>
          <w:b/>
          <w:bCs/>
          <w:color w:val="auto"/>
        </w:rPr>
        <w:t>扛牢粮食安全重任。</w:t>
      </w:r>
      <w:r>
        <w:rPr>
          <w:rFonts w:hint="eastAsia" w:ascii="仿宋_GB2312" w:hAnsi="仿宋_GB2312" w:eastAsia="仿宋_GB2312" w:cs="仿宋_GB2312"/>
          <w:color w:val="auto"/>
        </w:rPr>
        <w:t>促进良田良种良机良法集成增效，深入实施粮食单产提升工程和种业振兴行动，粮食播种面积稳定在</w:t>
      </w:r>
      <w:r>
        <w:rPr>
          <w:rFonts w:hint="eastAsia" w:ascii="Times New Roman" w:hAnsi="Times New Roman" w:eastAsia="仿宋_GB2312" w:cs="仿宋_GB2312"/>
          <w:color w:val="auto"/>
        </w:rPr>
        <w:t>7150</w:t>
      </w:r>
      <w:r>
        <w:rPr>
          <w:rFonts w:hint="eastAsia" w:ascii="仿宋_GB2312" w:hAnsi="仿宋_GB2312" w:eastAsia="仿宋_GB2312" w:cs="仿宋_GB2312"/>
          <w:color w:val="auto"/>
        </w:rPr>
        <w:t>万亩左右，完成</w:t>
      </w:r>
      <w:r>
        <w:rPr>
          <w:rFonts w:hint="eastAsia" w:ascii="Times New Roman" w:hAnsi="Times New Roman" w:eastAsia="仿宋_GB2312" w:cs="仿宋_GB2312"/>
          <w:color w:val="auto"/>
        </w:rPr>
        <w:t>300</w:t>
      </w:r>
      <w:r>
        <w:rPr>
          <w:rFonts w:hint="eastAsia" w:ascii="仿宋_GB2312" w:hAnsi="仿宋_GB2312" w:eastAsia="仿宋_GB2312" w:cs="仿宋_GB2312"/>
          <w:color w:val="auto"/>
        </w:rPr>
        <w:t>万亩高标准农田建设任务。全面推进构建汛旱并防与耕地置换协同推进机制改革。持续深化“大农科院”改革，聚力开展种业关键核心技术攻关和大型智能农机、丘陵山区适用机械及核心零部件研发。集成推广粮油作物单产提升关键技术，推动大豆油料扩面增产。深化粮食收储改革，抓好国家储备粮源基地建设。</w:t>
      </w:r>
      <w:r>
        <w:rPr>
          <w:rFonts w:hint="eastAsia" w:ascii="楷体_GB2312" w:hAnsi="楷体_GB2312" w:eastAsia="楷体_GB2312" w:cs="楷体_GB2312"/>
          <w:b/>
          <w:bCs/>
          <w:color w:val="auto"/>
        </w:rPr>
        <w:t>增强乡村产业发展动能。</w:t>
      </w:r>
      <w:r>
        <w:rPr>
          <w:rFonts w:hint="eastAsia" w:ascii="仿宋_GB2312" w:hAnsi="仿宋_GB2312" w:eastAsia="仿宋_GB2312" w:cs="仿宋_GB2312"/>
          <w:color w:val="auto"/>
        </w:rPr>
        <w:t>深化农产品加工主体培育，持续巩固粮食、畜禽、水产、水果、蔬菜等优势特色产业基础，积极培育预制菜、休闲食品、乡村旅游、农村电商等新业态。实施绿色农产品及食品加工倍增计划与设施改造升级行动。高水平办好中国中部（湖南）农业博览会，持续提升“湘字号”农产品品牌影响力。</w:t>
      </w:r>
      <w:r>
        <w:rPr>
          <w:rFonts w:hint="eastAsia" w:ascii="楷体_GB2312" w:hAnsi="楷体_GB2312" w:eastAsia="楷体_GB2312" w:cs="楷体_GB2312"/>
          <w:b/>
          <w:bCs/>
          <w:color w:val="auto"/>
        </w:rPr>
        <w:t>推进“和美湘村”建设。</w:t>
      </w:r>
      <w:r>
        <w:rPr>
          <w:rFonts w:hint="eastAsia" w:ascii="仿宋_GB2312" w:hAnsi="仿宋_GB2312" w:eastAsia="仿宋_GB2312" w:cs="仿宋_GB2312"/>
          <w:color w:val="auto"/>
        </w:rPr>
        <w:t>持续实施农村人居环境补短板工程，建设</w:t>
      </w:r>
      <w:r>
        <w:rPr>
          <w:rFonts w:hint="eastAsia" w:ascii="Times New Roman" w:hAnsi="Times New Roman" w:eastAsia="仿宋_GB2312" w:cs="仿宋_GB2312"/>
          <w:color w:val="auto"/>
        </w:rPr>
        <w:t>220</w:t>
      </w:r>
      <w:r>
        <w:rPr>
          <w:rFonts w:hint="eastAsia" w:ascii="仿宋_GB2312" w:hAnsi="仿宋_GB2312" w:eastAsia="仿宋_GB2312" w:cs="仿宋_GB2312"/>
          <w:color w:val="auto"/>
        </w:rPr>
        <w:t>个省级美丽乡村。扎实推进农村改厕、污水垃圾治理、乡村产业配套等设施建设。</w:t>
      </w:r>
      <w:r>
        <w:rPr>
          <w:rFonts w:hint="eastAsia" w:ascii="楷体_GB2312" w:hAnsi="楷体_GB2312" w:eastAsia="楷体_GB2312" w:cs="楷体_GB2312"/>
          <w:b/>
          <w:bCs/>
          <w:color w:val="auto"/>
        </w:rPr>
        <w:t>拓展农民增收渠道。</w:t>
      </w:r>
      <w:r>
        <w:rPr>
          <w:rFonts w:hint="eastAsia" w:ascii="仿宋_GB2312" w:hAnsi="仿宋_GB2312" w:eastAsia="仿宋_GB2312" w:cs="仿宋_GB2312"/>
          <w:color w:val="auto"/>
        </w:rPr>
        <w:t>落实落细各项强农惠农富农政策，推动省际边界地区农民收入实现“四个高于”。有序推进第二轮土地承包到期后再延长三十年试点工作，依法盘活用好农村闲置土地和房屋，稳步推进农村集体经营性建设用地入市改革。建立健全常态化防止返贫致贫机制，确保不发生规模性返贫致贫。</w:t>
      </w:r>
      <w:r>
        <w:rPr>
          <w:rFonts w:hint="eastAsia" w:ascii="楷体_GB2312" w:hAnsi="楷体_GB2312" w:eastAsia="楷体_GB2312" w:cs="楷体_GB2312"/>
          <w:b/>
          <w:bCs/>
          <w:color w:val="auto"/>
        </w:rPr>
        <w:t>加快发展县域经济。</w:t>
      </w:r>
      <w:r>
        <w:rPr>
          <w:rFonts w:hint="eastAsia" w:ascii="仿宋_GB2312" w:hAnsi="仿宋_GB2312" w:eastAsia="仿宋_GB2312" w:cs="仿宋_GB2312"/>
          <w:color w:val="auto"/>
        </w:rPr>
        <w:t>健全县域经济七套工作体系，落实支持经济大县发展的若干试点政策，建设一批农业强县、工业强县、旅游大县。着力壮大县域富民产业，推动新型工业化、农产品加工转化、文旅融合化三种类型县域经济差异化、特色化发展。</w:t>
      </w:r>
    </w:p>
    <w:p w14:paraId="07F3F2F1">
      <w:pPr>
        <w:widowControl w:val="0"/>
        <w:adjustRightInd w:val="0"/>
        <w:snapToGrid w:val="0"/>
        <w:spacing w:line="600" w:lineRule="exact"/>
        <w:ind w:firstLine="640" w:firstLineChars="200"/>
        <w:rPr>
          <w:rFonts w:ascii="黑体" w:hAnsi="黑体" w:eastAsia="黑体" w:cs="黑体"/>
          <w:color w:val="auto"/>
        </w:rPr>
      </w:pPr>
      <w:r>
        <w:rPr>
          <w:rFonts w:hint="eastAsia" w:ascii="黑体" w:hAnsi="黑体" w:eastAsia="黑体" w:cs="黑体"/>
          <w:color w:val="auto"/>
        </w:rPr>
        <w:t>六、着力激发区域发展新动能</w:t>
      </w:r>
    </w:p>
    <w:p w14:paraId="3A6E92F1">
      <w:pPr>
        <w:widowControl w:val="0"/>
        <w:adjustRightInd w:val="0"/>
        <w:snapToGrid w:val="0"/>
        <w:spacing w:line="600" w:lineRule="exact"/>
        <w:ind w:firstLine="643" w:firstLineChars="200"/>
        <w:rPr>
          <w:rFonts w:ascii="仿宋_GB2312" w:hAnsi="仿宋_GB2312" w:eastAsia="仿宋_GB2312" w:cs="仿宋_GB2312"/>
          <w:color w:val="auto"/>
        </w:rPr>
      </w:pPr>
      <w:r>
        <w:rPr>
          <w:rFonts w:hint="eastAsia" w:ascii="楷体_GB2312" w:hAnsi="楷体_GB2312" w:eastAsia="楷体_GB2312" w:cs="楷体_GB2312"/>
          <w:b/>
          <w:bCs/>
          <w:color w:val="auto"/>
        </w:rPr>
        <w:t>对接融入国家区域重大战略布局。</w:t>
      </w:r>
      <w:r>
        <w:rPr>
          <w:rFonts w:hint="eastAsia" w:ascii="仿宋_GB2312" w:hAnsi="仿宋_GB2312" w:eastAsia="仿宋_GB2312" w:cs="仿宋_GB2312"/>
          <w:color w:val="auto"/>
        </w:rPr>
        <w:t>全面落实《新时代推动中部地区加快崛起的若干政策措施》。深度融入长江经济带高质量发展，深化与长三角对接合作，完善湘赣边区域合作机制和湘鄂赣三省协同发展工作机制，推动长江中游城市群协同发展。深化与海南自由贸易港合作，积极对接封关政策，加快推进湘琼先进制造业共建产业园建设。积极争取国家支持湘中南地区打造融入粤港澳大湾区“先行区”，支持常德打造联动成渝地区双城经济圈和长江中游城市群的重要节点城市。积极对接西部大开发，建立湘鄂渝黔毗邻地区协同机制，支持怀化建设湘鄂渝黔桂五省边际区域中心城市、湖南对接西部陆海新通道的门户城市。</w:t>
      </w:r>
      <w:r>
        <w:rPr>
          <w:rFonts w:hint="eastAsia" w:ascii="楷体_GB2312" w:hAnsi="楷体_GB2312" w:eastAsia="楷体_GB2312" w:cs="楷体_GB2312"/>
          <w:b/>
          <w:bCs/>
          <w:color w:val="auto"/>
        </w:rPr>
        <w:t>加快长株潭一体化发展。</w:t>
      </w:r>
      <w:r>
        <w:rPr>
          <w:rFonts w:hint="eastAsia" w:ascii="仿宋_GB2312" w:hAnsi="仿宋_GB2312" w:eastAsia="仿宋_GB2312" w:cs="仿宋_GB2312"/>
          <w:color w:val="auto"/>
        </w:rPr>
        <w:t>坚持“一座城”理念，高质量编制“十五五”长株潭一体化发展规划，加快构建长株潭“多规合一”规划体系。进一步提升长株潭互联互通水平，加快打通融城干道，推进长株潭轨道交通成环成网工程前期工作。加快推动湘江科学城、长沙南部融城片区建设。细化落实长株潭生态绿心绿色转型发展实施方案，探索绿色转型新模式，打造全国绿色转型发展示范。</w:t>
      </w:r>
      <w:r>
        <w:rPr>
          <w:rFonts w:hint="eastAsia" w:ascii="楷体_GB2312" w:hAnsi="楷体_GB2312" w:eastAsia="楷体_GB2312" w:cs="楷体_GB2312"/>
          <w:b/>
          <w:bCs/>
          <w:color w:val="auto"/>
        </w:rPr>
        <w:t>优化省内区域发展格局。</w:t>
      </w:r>
      <w:r>
        <w:rPr>
          <w:rFonts w:hint="eastAsia" w:ascii="仿宋_GB2312" w:hAnsi="仿宋_GB2312" w:eastAsia="仿宋_GB2312" w:cs="仿宋_GB2312"/>
          <w:color w:val="auto"/>
        </w:rPr>
        <w:t>大力支持岳阳市、衡阳市加快建设省域副中心城市。全面落实新时代洞庭湖生态经济区规划和实施方案，加快推动湘南湘西承接产业转移平台提质增效，促进湘西等欠发达地区居民就业增收。促进革命老区、民族地区、资源枯竭型和老工业城市等振兴发展。</w:t>
      </w:r>
      <w:r>
        <w:rPr>
          <w:rFonts w:hint="eastAsia" w:ascii="楷体_GB2312" w:hAnsi="楷体_GB2312" w:eastAsia="楷体_GB2312" w:cs="楷体_GB2312"/>
          <w:b/>
          <w:bCs/>
          <w:color w:val="auto"/>
        </w:rPr>
        <w:t>深入推进以人为本的新型城镇化。</w:t>
      </w:r>
      <w:r>
        <w:rPr>
          <w:rFonts w:hint="eastAsia" w:ascii="仿宋_GB2312" w:hAnsi="仿宋_GB2312" w:eastAsia="仿宋_GB2312" w:cs="仿宋_GB2312"/>
          <w:color w:val="auto"/>
        </w:rPr>
        <w:t>大力实施城市更新，加快推进城镇老旧小区改造和地下管网建设。加大农业转移人口市民化、生育友好型社会建设等政策支持。填补城乡结合区域功能性空隙，提升城乡结合部功能品质。加快长株潭现代化都市圈同城化建设、长沙和岳阳韧性安全城市建设，深入推进各类国家新型城镇化试点。</w:t>
      </w:r>
    </w:p>
    <w:p w14:paraId="31362BC0">
      <w:pPr>
        <w:widowControl w:val="0"/>
        <w:adjustRightInd w:val="0"/>
        <w:snapToGrid w:val="0"/>
        <w:spacing w:line="600" w:lineRule="exact"/>
        <w:ind w:firstLine="640" w:firstLineChars="200"/>
        <w:rPr>
          <w:rFonts w:ascii="黑体" w:hAnsi="黑体" w:eastAsia="黑体" w:cs="黑体"/>
          <w:color w:val="auto"/>
        </w:rPr>
      </w:pPr>
      <w:r>
        <w:rPr>
          <w:rFonts w:hint="eastAsia" w:ascii="黑体" w:hAnsi="黑体" w:eastAsia="黑体" w:cs="黑体"/>
          <w:color w:val="auto"/>
        </w:rPr>
        <w:t>七、以“双碳”为引领加快建设美丽湖南</w:t>
      </w:r>
    </w:p>
    <w:p w14:paraId="3F597645">
      <w:pPr>
        <w:widowControl w:val="0"/>
        <w:adjustRightInd w:val="0"/>
        <w:snapToGrid w:val="0"/>
        <w:spacing w:line="600" w:lineRule="exact"/>
        <w:ind w:firstLine="643" w:firstLineChars="200"/>
        <w:rPr>
          <w:rFonts w:ascii="仿宋_GB2312" w:hAnsi="仿宋_GB2312" w:eastAsia="仿宋_GB2312" w:cs="仿宋_GB2312"/>
          <w:color w:val="auto"/>
        </w:rPr>
      </w:pPr>
      <w:r>
        <w:rPr>
          <w:rFonts w:hint="eastAsia" w:ascii="楷体_GB2312" w:hAnsi="楷体_GB2312" w:eastAsia="楷体_GB2312" w:cs="楷体_GB2312"/>
          <w:b/>
          <w:bCs/>
          <w:color w:val="auto"/>
        </w:rPr>
        <w:t>强化污染防治攻坚。</w:t>
      </w:r>
      <w:r>
        <w:rPr>
          <w:rFonts w:hint="eastAsia" w:ascii="仿宋_GB2312" w:hAnsi="仿宋_GB2312" w:eastAsia="仿宋_GB2312" w:cs="仿宋_GB2312"/>
          <w:color w:val="auto"/>
        </w:rPr>
        <w:t>抓好中央生态环保督察、长江经济带警示片交办问题整改。持续深入打好蓝天、碧水、净土保卫战。聚焦“三大结构两大难题”，推动实施长江中游城市群大气污染防治三年行动，打好扬尘污染防治标志性战役，加强秸秆综合利用与禁限烧管控、烟花爆竹燃放管控。加快城镇生活污水、垃圾处理设施建设和提标改造，推动沿江污水厂网河湖一体化和沿江</w:t>
      </w:r>
      <w:r>
        <w:rPr>
          <w:rFonts w:hint="eastAsia" w:ascii="Times New Roman" w:hAnsi="Times New Roman" w:eastAsia="仿宋_GB2312" w:cs="仿宋_GB2312"/>
          <w:color w:val="auto"/>
        </w:rPr>
        <w:t>1</w:t>
      </w:r>
      <w:r>
        <w:rPr>
          <w:rFonts w:hint="eastAsia" w:ascii="仿宋_GB2312" w:hAnsi="仿宋_GB2312" w:eastAsia="仿宋_GB2312" w:cs="仿宋_GB2312"/>
          <w:color w:val="auto"/>
        </w:rPr>
        <w:t>公里化工企业腾退地块土壤污染治理。</w:t>
      </w:r>
      <w:r>
        <w:rPr>
          <w:rFonts w:hint="eastAsia" w:ascii="楷体_GB2312" w:hAnsi="楷体_GB2312" w:eastAsia="楷体_GB2312" w:cs="楷体_GB2312"/>
          <w:b/>
          <w:bCs/>
          <w:color w:val="auto"/>
        </w:rPr>
        <w:t>加强生态保护和修复。</w:t>
      </w:r>
      <w:r>
        <w:rPr>
          <w:rFonts w:hint="eastAsia" w:ascii="仿宋_GB2312" w:hAnsi="仿宋_GB2312" w:eastAsia="仿宋_GB2312" w:cs="仿宋_GB2312"/>
          <w:color w:val="auto"/>
        </w:rPr>
        <w:t>实施山水林田湖草沙一体化保护和修复工程，加强武陵—雪峰山脉、南岭山脉、罗霄—幕阜山脉等重要生态廊道保护和南山国家公园建设。科学开展国土绿化行动，完善河湖长制、林长制、田长制协同治理机制。推进省级生态产品价值实现机制试点，培育一批特色化、品牌化、集群化生态产品。</w:t>
      </w:r>
      <w:r>
        <w:rPr>
          <w:rFonts w:hint="eastAsia" w:ascii="楷体_GB2312" w:hAnsi="楷体_GB2312" w:eastAsia="楷体_GB2312" w:cs="楷体_GB2312"/>
          <w:b/>
          <w:bCs/>
          <w:color w:val="auto"/>
        </w:rPr>
        <w:t>积极稳妥推进碳达峰。</w:t>
      </w:r>
      <w:r>
        <w:rPr>
          <w:rFonts w:hint="eastAsia" w:ascii="仿宋_GB2312" w:hAnsi="仿宋_GB2312" w:eastAsia="仿宋_GB2312" w:cs="仿宋_GB2312"/>
          <w:color w:val="auto"/>
        </w:rPr>
        <w:t>稳步实施碳排放总量和强度双控制度，建立碳达峰碳中和评价考核体系和碳排放统计核算制度。深入推进湖南省“十五五”碳达峰工作，严格做好“两高”项目联合评估论证和有效管控。推进循环经济和清洁生产，建设一批零碳园区、零碳工厂。</w:t>
      </w:r>
      <w:r>
        <w:rPr>
          <w:rFonts w:hint="eastAsia" w:ascii="楷体_GB2312" w:hAnsi="楷体_GB2312" w:eastAsia="楷体_GB2312" w:cs="楷体_GB2312"/>
          <w:b/>
          <w:bCs/>
          <w:color w:val="auto"/>
        </w:rPr>
        <w:t>加快推动能源绿色低碳转型。</w:t>
      </w:r>
      <w:r>
        <w:rPr>
          <w:rFonts w:hint="eastAsia" w:ascii="仿宋_GB2312" w:hAnsi="仿宋_GB2312" w:eastAsia="仿宋_GB2312" w:cs="仿宋_GB2312"/>
          <w:color w:val="auto"/>
        </w:rPr>
        <w:t>优化新能源项目入库管理，加快推进重点风光项目建设。拓展绿色能源消费场景，实施充电设施服务能力三年倍增计划。积极发展氢能产业，扩大天然气利用规模。</w:t>
      </w:r>
    </w:p>
    <w:p w14:paraId="34996920">
      <w:pPr>
        <w:widowControl w:val="0"/>
        <w:adjustRightInd w:val="0"/>
        <w:snapToGrid w:val="0"/>
        <w:spacing w:line="600" w:lineRule="exact"/>
        <w:ind w:firstLine="640" w:firstLineChars="200"/>
        <w:rPr>
          <w:rFonts w:ascii="黑体" w:hAnsi="黑体" w:eastAsia="黑体" w:cs="黑体"/>
          <w:color w:val="auto"/>
        </w:rPr>
      </w:pPr>
      <w:r>
        <w:rPr>
          <w:rFonts w:hint="eastAsia" w:ascii="黑体" w:hAnsi="黑体" w:eastAsia="黑体" w:cs="黑体"/>
          <w:color w:val="auto"/>
        </w:rPr>
        <w:t>八、更大力度保障和改善民生</w:t>
      </w:r>
    </w:p>
    <w:p w14:paraId="2B572535">
      <w:pPr>
        <w:widowControl w:val="0"/>
        <w:adjustRightInd w:val="0"/>
        <w:snapToGrid w:val="0"/>
        <w:spacing w:line="600" w:lineRule="exact"/>
        <w:ind w:firstLine="643" w:firstLineChars="200"/>
        <w:rPr>
          <w:rFonts w:ascii="仿宋_GB2312" w:hAnsi="仿宋_GB2312" w:eastAsia="仿宋_GB2312" w:cs="仿宋_GB2312"/>
          <w:color w:val="auto"/>
        </w:rPr>
      </w:pPr>
      <w:r>
        <w:rPr>
          <w:rFonts w:hint="eastAsia" w:ascii="楷体_GB2312" w:hAnsi="楷体_GB2312" w:eastAsia="楷体_GB2312" w:cs="楷体_GB2312"/>
          <w:b/>
          <w:bCs/>
          <w:color w:val="auto"/>
        </w:rPr>
        <w:t>促进居民就业增收。</w:t>
      </w:r>
      <w:r>
        <w:rPr>
          <w:rFonts w:hint="eastAsia" w:ascii="仿宋_GB2312" w:hAnsi="仿宋_GB2312" w:eastAsia="仿宋_GB2312" w:cs="仿宋_GB2312"/>
          <w:color w:val="auto"/>
        </w:rPr>
        <w:t>全面落实促进高质量充分就业</w:t>
      </w:r>
      <w:r>
        <w:rPr>
          <w:rFonts w:hint="eastAsia" w:ascii="Times New Roman" w:hAnsi="Times New Roman" w:eastAsia="仿宋_GB2312" w:cs="仿宋_GB2312"/>
          <w:color w:val="auto"/>
        </w:rPr>
        <w:t>27</w:t>
      </w:r>
      <w:r>
        <w:rPr>
          <w:rFonts w:hint="eastAsia" w:ascii="仿宋_GB2312" w:hAnsi="仿宋_GB2312" w:eastAsia="仿宋_GB2312" w:cs="仿宋_GB2312"/>
          <w:color w:val="auto"/>
        </w:rPr>
        <w:t>条政策措施。建设年轻人友好省份，深化大学生创业“七个一”行动，培育打造一批省级大学生创业孵化基地。积极应对人工智能等新兴技术对就业的影响，做好应对预案。统筹做好外出务工服务保障和返乡就业创业扶持。加快全省就业服务“一张网”建设，优化“湘就业”平台功能，推进“家门口”就业服务站和“</w:t>
      </w:r>
      <w:r>
        <w:rPr>
          <w:rFonts w:hint="eastAsia" w:ascii="Times New Roman" w:hAnsi="Times New Roman" w:eastAsia="仿宋_GB2312" w:cs="仿宋_GB2312"/>
          <w:color w:val="auto"/>
        </w:rPr>
        <w:t>15</w:t>
      </w:r>
      <w:r>
        <w:rPr>
          <w:rFonts w:hint="eastAsia" w:ascii="仿宋_GB2312" w:hAnsi="仿宋_GB2312" w:eastAsia="仿宋_GB2312" w:cs="仿宋_GB2312"/>
          <w:color w:val="auto"/>
        </w:rPr>
        <w:t>分钟”就业服务圈建设。大力实施城乡居民增收计划，加强劳动者权益保障。</w:t>
      </w:r>
      <w:r>
        <w:rPr>
          <w:rFonts w:hint="eastAsia" w:ascii="楷体_GB2312" w:hAnsi="楷体_GB2312" w:eastAsia="楷体_GB2312" w:cs="楷体_GB2312"/>
          <w:b/>
          <w:bCs/>
          <w:color w:val="auto"/>
        </w:rPr>
        <w:t>办好人民满意的教育。</w:t>
      </w:r>
      <w:r>
        <w:rPr>
          <w:rFonts w:hint="eastAsia" w:ascii="仿宋_GB2312" w:hAnsi="仿宋_GB2312" w:eastAsia="仿宋_GB2312" w:cs="仿宋_GB2312"/>
          <w:color w:val="auto"/>
        </w:rPr>
        <w:t>加快推进义务教育优质均衡发展和学前教育普及普惠评估认定，稳步扩大免费学前教育覆盖面。支持</w:t>
      </w:r>
      <w:r>
        <w:rPr>
          <w:rFonts w:hint="eastAsia" w:ascii="Times New Roman" w:hAnsi="Times New Roman" w:eastAsia="仿宋_GB2312" w:cs="仿宋_GB2312"/>
          <w:color w:val="auto"/>
        </w:rPr>
        <w:t>1000</w:t>
      </w:r>
      <w:r>
        <w:rPr>
          <w:rFonts w:hint="eastAsia" w:ascii="仿宋_GB2312" w:hAnsi="仿宋_GB2312" w:eastAsia="仿宋_GB2312" w:cs="仿宋_GB2312"/>
          <w:color w:val="auto"/>
        </w:rPr>
        <w:t>所中小学校食堂新建改造和设施更新。深入实施县中振兴计划，增加优质公办学位供给。继续深化高校布局调整与学科专业优化，加快推进</w:t>
      </w:r>
      <w:r>
        <w:rPr>
          <w:rFonts w:hint="eastAsia" w:ascii="Times New Roman" w:hAnsi="Times New Roman" w:eastAsia="仿宋_GB2312" w:cs="仿宋_GB2312"/>
          <w:color w:val="auto"/>
        </w:rPr>
        <w:t>5</w:t>
      </w:r>
      <w:r>
        <w:rPr>
          <w:rFonts w:hint="eastAsia" w:ascii="仿宋_GB2312" w:hAnsi="仿宋_GB2312" w:eastAsia="仿宋_GB2312" w:cs="仿宋_GB2312"/>
          <w:color w:val="auto"/>
        </w:rPr>
        <w:t>所本科层次职业学校设置，推动产教深度融合发展。持续打造“我的韶山行”红色研学品牌。</w:t>
      </w:r>
      <w:r>
        <w:rPr>
          <w:rFonts w:hint="eastAsia" w:ascii="楷体_GB2312" w:hAnsi="楷体_GB2312" w:eastAsia="楷体_GB2312" w:cs="楷体_GB2312"/>
          <w:b/>
          <w:bCs/>
          <w:color w:val="auto"/>
        </w:rPr>
        <w:t>稳步提升社会保障水平。</w:t>
      </w:r>
      <w:r>
        <w:rPr>
          <w:rFonts w:hint="eastAsia" w:ascii="仿宋_GB2312" w:hAnsi="仿宋_GB2312" w:eastAsia="仿宋_GB2312" w:cs="仿宋_GB2312"/>
          <w:color w:val="auto"/>
        </w:rPr>
        <w:t>落实基本养老保险全国统筹制度，适度提高基础养老金最低标准。扩大居民医保覆盖面。建立城乡居民养老保险参保群体中低保户等困难群体丧葬补助金制度。稳妥推进渐进式延迟退休改革。优化灵活就业人员参保政策，探索新就业形态人员职业伤害保障试点。扎实做好“一老一小”工作。加大生育支持力度，落实育儿补贴制度，发展普惠托育服务。持续办好“十大重点民生实事”。</w:t>
      </w:r>
      <w:r>
        <w:rPr>
          <w:rFonts w:hint="eastAsia" w:ascii="楷体_GB2312" w:hAnsi="楷体_GB2312" w:eastAsia="楷体_GB2312" w:cs="楷体_GB2312"/>
          <w:b/>
          <w:bCs/>
          <w:color w:val="auto"/>
        </w:rPr>
        <w:t>统筹推进健康湖南建设。</w:t>
      </w:r>
      <w:r>
        <w:rPr>
          <w:rFonts w:hint="eastAsia" w:ascii="仿宋_GB2312" w:hAnsi="仿宋_GB2312" w:eastAsia="仿宋_GB2312" w:cs="仿宋_GB2312"/>
          <w:color w:val="auto"/>
        </w:rPr>
        <w:t>实施医疗卫生强基工程。促进优质医疗资源下沉，开展第一批高水平医院结对帮扶医疗资源薄弱地区医疗机构工作。加快建设国家医学中心、国家区域医疗中心和省级区域医疗中心。加快推进长沙奥体中心等第十六届全运会重大项目建设，扎实做好第十三届少数民族传统体育运动会筹备工作，谋划建设一批群众身边的文化和体育场地设施，办好一批群众文化体育赛事。</w:t>
      </w:r>
    </w:p>
    <w:p w14:paraId="155F0310">
      <w:pPr>
        <w:widowControl w:val="0"/>
        <w:adjustRightInd w:val="0"/>
        <w:snapToGrid w:val="0"/>
        <w:spacing w:line="600" w:lineRule="exact"/>
        <w:ind w:firstLine="640" w:firstLineChars="200"/>
        <w:rPr>
          <w:rFonts w:ascii="黑体" w:hAnsi="黑体" w:eastAsia="黑体" w:cs="黑体"/>
          <w:color w:val="auto"/>
        </w:rPr>
      </w:pPr>
      <w:r>
        <w:rPr>
          <w:rFonts w:hint="eastAsia" w:ascii="黑体" w:hAnsi="黑体" w:eastAsia="黑体" w:cs="黑体"/>
          <w:color w:val="auto"/>
        </w:rPr>
        <w:t>九、积极稳妥防范化解重点领域风险</w:t>
      </w:r>
    </w:p>
    <w:p w14:paraId="6B69148D">
      <w:pPr>
        <w:widowControl w:val="0"/>
        <w:adjustRightInd w:val="0"/>
        <w:snapToGrid w:val="0"/>
        <w:spacing w:line="600" w:lineRule="exact"/>
        <w:ind w:firstLine="643" w:firstLineChars="200"/>
        <w:rPr>
          <w:rFonts w:ascii="仿宋_GB2312" w:hAnsi="仿宋_GB2312" w:eastAsia="仿宋_GB2312" w:cs="仿宋_GB2312"/>
          <w:color w:val="auto"/>
        </w:rPr>
      </w:pPr>
      <w:r>
        <w:rPr>
          <w:rFonts w:hint="eastAsia" w:ascii="楷体_GB2312" w:hAnsi="楷体_GB2312" w:eastAsia="楷体_GB2312" w:cs="楷体_GB2312"/>
          <w:b/>
          <w:bCs/>
          <w:color w:val="auto"/>
        </w:rPr>
        <w:t>着力化解债务和金融风险。</w:t>
      </w:r>
      <w:r>
        <w:rPr>
          <w:rFonts w:hint="eastAsia" w:ascii="仿宋_GB2312" w:hAnsi="仿宋_GB2312" w:eastAsia="仿宋_GB2312" w:cs="仿宋_GB2312"/>
          <w:color w:val="auto"/>
        </w:rPr>
        <w:t>深化“三全”债务改革，严禁新增隐性债务，完成隐性债务化解和融资平台压降年度任务。持续推进“连环债”清偿改革试点。开展中小金融机构减量提质行动。推动农信系统不良资产清收处置，吸收合并村镇银行。防范打击非法金融活动，协同处置上市公司及重点企业风险。</w:t>
      </w:r>
      <w:r>
        <w:rPr>
          <w:rFonts w:hint="eastAsia" w:ascii="楷体_GB2312" w:hAnsi="楷体_GB2312" w:eastAsia="楷体_GB2312" w:cs="楷体_GB2312"/>
          <w:b/>
          <w:bCs/>
          <w:color w:val="auto"/>
        </w:rPr>
        <w:t>推动房地产高质量发展。</w:t>
      </w:r>
      <w:r>
        <w:rPr>
          <w:rFonts w:hint="eastAsia" w:ascii="仿宋_GB2312" w:hAnsi="仿宋_GB2312" w:eastAsia="仿宋_GB2312" w:cs="仿宋_GB2312"/>
          <w:color w:val="auto"/>
        </w:rPr>
        <w:t>加快构建房地产发展新模式，完善“保障+市场”住房供应体系。编制“好房子”建设技术导则，开展“好房子”建设试点。推进“白名单”融资扩围增效，加快推进保交房扫尾攻坚和烂尾楼处置。调整优化保障性住房建设模式，加大存量商品房收购用作保障房、人才房、宿舍、安置房力度。做好房票安置有关工作。</w:t>
      </w:r>
      <w:r>
        <w:rPr>
          <w:rFonts w:hint="eastAsia" w:ascii="楷体_GB2312" w:hAnsi="楷体_GB2312" w:eastAsia="楷体_GB2312" w:cs="楷体_GB2312"/>
          <w:b/>
          <w:bCs/>
          <w:color w:val="auto"/>
        </w:rPr>
        <w:t>着力提升社会治理水平。</w:t>
      </w:r>
      <w:r>
        <w:rPr>
          <w:rFonts w:hint="eastAsia" w:ascii="仿宋_GB2312" w:hAnsi="仿宋_GB2312" w:eastAsia="仿宋_GB2312" w:cs="仿宋_GB2312"/>
          <w:color w:val="auto"/>
        </w:rPr>
        <w:t>坚持和发展新时代“枫桥经验”，加强乡村和社区治理，强化社会组织综合监管。加快推进社会治安整体防控体系现代化，常态化开展扫黑除恶。推进县乡综治中心规范化建设，加大信访积案化解力度。</w:t>
      </w:r>
      <w:r>
        <w:rPr>
          <w:rFonts w:hint="eastAsia" w:ascii="楷体_GB2312" w:hAnsi="楷体_GB2312" w:eastAsia="楷体_GB2312" w:cs="楷体_GB2312"/>
          <w:b/>
          <w:bCs/>
          <w:color w:val="auto"/>
        </w:rPr>
        <w:t>切实抓好安全生产。</w:t>
      </w:r>
      <w:r>
        <w:rPr>
          <w:rFonts w:hint="eastAsia" w:ascii="仿宋_GB2312" w:hAnsi="仿宋_GB2312" w:eastAsia="仿宋_GB2312" w:cs="仿宋_GB2312"/>
          <w:color w:val="auto"/>
        </w:rPr>
        <w:t>严格落实“三查一曝光两闭环”举措，持续完善监测预警和应急指挥体系。深化高层建筑、交通、城镇燃气、自建房等重点行业领域风险隐患排查整治。突出城市运行安全防范，提高城市安全韧性水平。加强自然灾害综合风险会商研判，精准施策做好防灾减灾救灾工作。强基固本提升基层应急管理能力。</w:t>
      </w:r>
    </w:p>
    <w:p w14:paraId="0ED06E69">
      <w:pPr>
        <w:pStyle w:val="5"/>
        <w:widowControl w:val="0"/>
        <w:adjustRightInd w:val="0"/>
        <w:snapToGrid w:val="0"/>
        <w:spacing w:line="600" w:lineRule="exact"/>
        <w:ind w:left="0"/>
        <w:rPr>
          <w:rFonts w:ascii="仿宋_GB2312" w:hAnsi="仿宋_GB2312" w:eastAsia="仿宋_GB2312" w:cs="仿宋_GB2312"/>
          <w:color w:val="auto"/>
        </w:rPr>
      </w:pPr>
    </w:p>
    <w:p w14:paraId="302766EF">
      <w:pPr>
        <w:widowControl w:val="0"/>
        <w:adjustRightInd w:val="0"/>
        <w:snapToGrid w:val="0"/>
        <w:spacing w:line="600" w:lineRule="exact"/>
        <w:ind w:firstLine="640" w:firstLineChars="200"/>
        <w:rPr>
          <w:rFonts w:ascii="仿宋_GB2312" w:hAnsi="仿宋_GB2312" w:eastAsia="仿宋_GB2312" w:cs="仿宋_GB2312"/>
        </w:rPr>
        <w:sectPr>
          <w:pgSz w:w="11906" w:h="16838"/>
          <w:pgMar w:top="1701" w:right="1417" w:bottom="1417" w:left="1417" w:header="850" w:footer="1020" w:gutter="0"/>
          <w:cols w:space="720" w:num="1"/>
          <w:docGrid w:type="lines" w:linePitch="312" w:charSpace="0"/>
        </w:sectPr>
      </w:pPr>
      <w:r>
        <w:rPr>
          <w:rFonts w:hint="eastAsia" w:ascii="仿宋_GB2312" w:hAnsi="仿宋_GB2312" w:eastAsia="仿宋_GB2312" w:cs="仿宋_GB2312"/>
        </w:rPr>
        <w:t>附件：</w:t>
      </w:r>
      <w:r>
        <w:fldChar w:fldCharType="begin"/>
      </w:r>
      <w:r>
        <w:instrText xml:space="preserve"> HYPERLINK "http://www.yueyang.gov.cn/ipad/uploadfiles/201803/20180322085600100.doc" </w:instrText>
      </w:r>
      <w:r>
        <w:fldChar w:fldCharType="separate"/>
      </w:r>
      <w:r>
        <w:rPr>
          <w:rFonts w:hint="eastAsia" w:ascii="仿宋_GB2312" w:hAnsi="仿宋_GB2312" w:eastAsia="仿宋_GB2312" w:cs="仿宋_GB2312"/>
        </w:rPr>
        <w:t>湖南省</w:t>
      </w:r>
      <w:r>
        <w:rPr>
          <w:rFonts w:hint="eastAsia" w:ascii="Times New Roman" w:hAnsi="Times New Roman" w:eastAsia="仿宋_GB2312" w:cs="仿宋_GB2312"/>
          <w:color w:val="auto"/>
        </w:rPr>
        <w:t>2026</w:t>
      </w:r>
      <w:r>
        <w:rPr>
          <w:rFonts w:hint="eastAsia" w:ascii="仿宋_GB2312" w:hAnsi="仿宋_GB2312" w:eastAsia="仿宋_GB2312" w:cs="仿宋_GB2312"/>
        </w:rPr>
        <w:t>年国民经济和社会发展计划主要指标</w:t>
      </w:r>
      <w:r>
        <w:rPr>
          <w:rFonts w:hint="eastAsia" w:ascii="仿宋_GB2312" w:hAnsi="仿宋_GB2312" w:eastAsia="仿宋_GB2312" w:cs="仿宋_GB2312"/>
        </w:rPr>
        <w:fldChar w:fldCharType="end"/>
      </w:r>
    </w:p>
    <w:p w14:paraId="636A518E">
      <w:pPr>
        <w:pStyle w:val="8"/>
        <w:overflowPunct w:val="0"/>
        <w:spacing w:line="600" w:lineRule="exact"/>
        <w:ind w:left="0"/>
        <w:jc w:val="both"/>
        <w:rPr>
          <w:rFonts w:ascii="Times New Roman" w:hAnsi="Times New Roman" w:eastAsia="方正小标宋简体"/>
          <w:i w:val="0"/>
          <w:iCs w:val="0"/>
          <w:sz w:val="32"/>
          <w:szCs w:val="32"/>
        </w:rPr>
      </w:pPr>
      <w:r>
        <w:rPr>
          <w:rFonts w:ascii="Times New Roman" w:hAnsi="Times New Roman" w:eastAsia="黑体"/>
          <w:i w:val="0"/>
          <w:iCs w:val="0"/>
          <w:kern w:val="0"/>
          <w:sz w:val="32"/>
          <w:szCs w:val="32"/>
        </w:rPr>
        <w:t>附件</w:t>
      </w:r>
    </w:p>
    <w:p w14:paraId="4D31F2E7">
      <w:pPr>
        <w:widowControl w:val="0"/>
        <w:tabs>
          <w:tab w:val="left" w:pos="1148"/>
        </w:tabs>
        <w:spacing w:afterLines="50" w:line="600" w:lineRule="exact"/>
        <w:jc w:val="center"/>
        <w:outlineLvl w:val="0"/>
        <w:rPr>
          <w:rFonts w:ascii="方正小标宋简体" w:hAnsi="方正小标宋简体" w:eastAsia="方正小标宋简体" w:cs="方正小标宋简体"/>
          <w:w w:val="95"/>
        </w:rPr>
      </w:pPr>
      <w:r>
        <w:fldChar w:fldCharType="begin"/>
      </w:r>
      <w:r>
        <w:instrText xml:space="preserve"> HYPERLINK "http://www.yueyang.gov.cn/ipad/uploadfiles/201803/20180322085600100.doc" </w:instrText>
      </w:r>
      <w:r>
        <w:fldChar w:fldCharType="separate"/>
      </w:r>
      <w:r>
        <w:rPr>
          <w:rFonts w:hint="eastAsia" w:ascii="方正小标宋简体" w:hAnsi="方正小标宋简体" w:eastAsia="方正小标宋简体" w:cs="方正小标宋简体"/>
          <w:w w:val="95"/>
        </w:rPr>
        <w:t>湖南省2026年国民经济和社会发展计划主要指标</w:t>
      </w:r>
      <w:r>
        <w:rPr>
          <w:rFonts w:hint="eastAsia" w:ascii="方正小标宋简体" w:hAnsi="方正小标宋简体" w:eastAsia="方正小标宋简体" w:cs="方正小标宋简体"/>
          <w:w w:val="95"/>
        </w:rPr>
        <w:fldChar w:fldCharType="end"/>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5102"/>
        <w:gridCol w:w="3232"/>
      </w:tblGrid>
      <w:tr w14:paraId="2677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26" w:type="dxa"/>
            <w:vAlign w:val="center"/>
          </w:tcPr>
          <w:p w14:paraId="05E28305">
            <w:pPr>
              <w:adjustRightInd w:val="0"/>
              <w:snapToGrid w:val="0"/>
              <w:jc w:val="center"/>
              <w:rPr>
                <w:rFonts w:ascii="Times New Roman" w:hAnsi="Times New Roman" w:eastAsia="黑体"/>
                <w:color w:val="auto"/>
                <w:sz w:val="24"/>
              </w:rPr>
            </w:pPr>
            <w:r>
              <w:rPr>
                <w:rFonts w:ascii="Times New Roman" w:hAnsi="Times New Roman" w:eastAsia="黑体"/>
                <w:color w:val="auto"/>
                <w:sz w:val="24"/>
              </w:rPr>
              <w:t>序号</w:t>
            </w:r>
          </w:p>
        </w:tc>
        <w:tc>
          <w:tcPr>
            <w:tcW w:w="5102" w:type="dxa"/>
            <w:vAlign w:val="center"/>
          </w:tcPr>
          <w:p w14:paraId="1D6F735B">
            <w:pPr>
              <w:tabs>
                <w:tab w:val="left" w:pos="3570"/>
              </w:tabs>
              <w:adjustRightInd w:val="0"/>
              <w:snapToGrid w:val="0"/>
              <w:jc w:val="center"/>
              <w:rPr>
                <w:rFonts w:ascii="Times New Roman" w:hAnsi="Times New Roman" w:eastAsia="黑体"/>
                <w:color w:val="auto"/>
                <w:sz w:val="24"/>
              </w:rPr>
            </w:pPr>
            <w:r>
              <w:rPr>
                <w:rFonts w:ascii="Times New Roman" w:hAnsi="Times New Roman" w:eastAsia="黑体"/>
                <w:color w:val="auto"/>
                <w:sz w:val="24"/>
              </w:rPr>
              <w:t>指 标 名 称</w:t>
            </w:r>
          </w:p>
        </w:tc>
        <w:tc>
          <w:tcPr>
            <w:tcW w:w="3232" w:type="dxa"/>
            <w:vAlign w:val="center"/>
          </w:tcPr>
          <w:p w14:paraId="77AAC337">
            <w:pPr>
              <w:tabs>
                <w:tab w:val="left" w:pos="3570"/>
              </w:tabs>
              <w:adjustRightInd w:val="0"/>
              <w:snapToGrid w:val="0"/>
              <w:jc w:val="center"/>
              <w:rPr>
                <w:rFonts w:ascii="Times New Roman" w:hAnsi="Times New Roman" w:eastAsia="黑体"/>
                <w:color w:val="auto"/>
                <w:sz w:val="24"/>
              </w:rPr>
            </w:pPr>
            <w:r>
              <w:rPr>
                <w:rFonts w:ascii="Times New Roman" w:hAnsi="Times New Roman" w:eastAsia="黑体"/>
                <w:color w:val="auto"/>
                <w:sz w:val="24"/>
              </w:rPr>
              <w:t>建议方案</w:t>
            </w:r>
          </w:p>
        </w:tc>
      </w:tr>
      <w:tr w14:paraId="18F0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dxa"/>
            <w:vAlign w:val="center"/>
          </w:tcPr>
          <w:p w14:paraId="5660E7C5">
            <w:pPr>
              <w:adjustRightInd w:val="0"/>
              <w:snapToGrid w:val="0"/>
              <w:jc w:val="center"/>
              <w:rPr>
                <w:rFonts w:ascii="Times New Roman" w:hAnsi="Times New Roman"/>
                <w:color w:val="auto"/>
                <w:sz w:val="24"/>
              </w:rPr>
            </w:pPr>
            <w:r>
              <w:rPr>
                <w:rFonts w:ascii="Times New Roman" w:hAnsi="Times New Roman"/>
                <w:color w:val="auto"/>
                <w:sz w:val="24"/>
              </w:rPr>
              <w:t>1</w:t>
            </w:r>
          </w:p>
        </w:tc>
        <w:tc>
          <w:tcPr>
            <w:tcW w:w="5102" w:type="dxa"/>
            <w:vAlign w:val="center"/>
          </w:tcPr>
          <w:p w14:paraId="127B3D2E">
            <w:pPr>
              <w:adjustRightInd w:val="0"/>
              <w:snapToGrid w:val="0"/>
              <w:rPr>
                <w:rFonts w:ascii="Times New Roman" w:hAnsi="Times New Roman" w:eastAsia="宋体"/>
                <w:color w:val="auto"/>
                <w:sz w:val="24"/>
              </w:rPr>
            </w:pPr>
            <w:r>
              <w:rPr>
                <w:rFonts w:ascii="Times New Roman" w:hAnsi="Times New Roman" w:eastAsia="宋体"/>
                <w:color w:val="auto"/>
                <w:sz w:val="24"/>
              </w:rPr>
              <w:t>地区生产总值增长（%）</w:t>
            </w:r>
          </w:p>
        </w:tc>
        <w:tc>
          <w:tcPr>
            <w:tcW w:w="3232" w:type="dxa"/>
            <w:vAlign w:val="center"/>
          </w:tcPr>
          <w:p w14:paraId="6F52C985">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5左右，在实际工作中努力争取更好结果</w:t>
            </w:r>
          </w:p>
        </w:tc>
      </w:tr>
      <w:tr w14:paraId="0A03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dxa"/>
            <w:vAlign w:val="center"/>
          </w:tcPr>
          <w:p w14:paraId="4A3AB296">
            <w:pPr>
              <w:adjustRightInd w:val="0"/>
              <w:snapToGrid w:val="0"/>
              <w:jc w:val="center"/>
              <w:rPr>
                <w:rFonts w:ascii="Times New Roman" w:hAnsi="Times New Roman"/>
                <w:color w:val="auto"/>
                <w:sz w:val="24"/>
              </w:rPr>
            </w:pPr>
            <w:r>
              <w:rPr>
                <w:rFonts w:ascii="Times New Roman" w:hAnsi="Times New Roman"/>
                <w:color w:val="auto"/>
                <w:sz w:val="24"/>
              </w:rPr>
              <w:t>2</w:t>
            </w:r>
          </w:p>
        </w:tc>
        <w:tc>
          <w:tcPr>
            <w:tcW w:w="5102" w:type="dxa"/>
            <w:vAlign w:val="center"/>
          </w:tcPr>
          <w:p w14:paraId="7F36637F">
            <w:pPr>
              <w:adjustRightInd w:val="0"/>
              <w:snapToGrid w:val="0"/>
              <w:rPr>
                <w:rFonts w:ascii="Times New Roman" w:hAnsi="Times New Roman" w:eastAsia="宋体"/>
                <w:color w:val="auto"/>
                <w:sz w:val="24"/>
              </w:rPr>
            </w:pPr>
            <w:r>
              <w:rPr>
                <w:rFonts w:ascii="Times New Roman" w:hAnsi="Times New Roman" w:eastAsia="宋体"/>
                <w:color w:val="auto"/>
                <w:sz w:val="24"/>
              </w:rPr>
              <w:t>一产业增加值增长（%）</w:t>
            </w:r>
          </w:p>
        </w:tc>
        <w:tc>
          <w:tcPr>
            <w:tcW w:w="3232" w:type="dxa"/>
            <w:vAlign w:val="center"/>
          </w:tcPr>
          <w:p w14:paraId="543890D5">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3.5</w:t>
            </w:r>
          </w:p>
        </w:tc>
      </w:tr>
      <w:tr w14:paraId="36A8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dxa"/>
            <w:vAlign w:val="center"/>
          </w:tcPr>
          <w:p w14:paraId="7777318D">
            <w:pPr>
              <w:adjustRightInd w:val="0"/>
              <w:snapToGrid w:val="0"/>
              <w:jc w:val="center"/>
              <w:rPr>
                <w:rFonts w:ascii="Times New Roman" w:hAnsi="Times New Roman"/>
                <w:color w:val="auto"/>
                <w:sz w:val="24"/>
              </w:rPr>
            </w:pPr>
            <w:r>
              <w:rPr>
                <w:rFonts w:ascii="Times New Roman" w:hAnsi="Times New Roman"/>
                <w:color w:val="auto"/>
                <w:sz w:val="24"/>
              </w:rPr>
              <w:t>3</w:t>
            </w:r>
          </w:p>
        </w:tc>
        <w:tc>
          <w:tcPr>
            <w:tcW w:w="5102" w:type="dxa"/>
            <w:vAlign w:val="center"/>
          </w:tcPr>
          <w:p w14:paraId="6D923DEA">
            <w:pPr>
              <w:adjustRightInd w:val="0"/>
              <w:snapToGrid w:val="0"/>
              <w:rPr>
                <w:rFonts w:ascii="Times New Roman" w:hAnsi="Times New Roman" w:eastAsia="宋体"/>
                <w:color w:val="auto"/>
                <w:sz w:val="24"/>
              </w:rPr>
            </w:pPr>
            <w:r>
              <w:rPr>
                <w:rFonts w:ascii="Times New Roman" w:hAnsi="Times New Roman" w:eastAsia="宋体"/>
                <w:color w:val="auto"/>
                <w:sz w:val="24"/>
              </w:rPr>
              <w:t>规模工业增加值增长（%）</w:t>
            </w:r>
          </w:p>
        </w:tc>
        <w:tc>
          <w:tcPr>
            <w:tcW w:w="3232" w:type="dxa"/>
            <w:vAlign w:val="center"/>
          </w:tcPr>
          <w:p w14:paraId="2036D87B">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6</w:t>
            </w:r>
          </w:p>
        </w:tc>
      </w:tr>
      <w:tr w14:paraId="220A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dxa"/>
            <w:vAlign w:val="center"/>
          </w:tcPr>
          <w:p w14:paraId="386A732E">
            <w:pPr>
              <w:adjustRightInd w:val="0"/>
              <w:snapToGrid w:val="0"/>
              <w:jc w:val="center"/>
              <w:rPr>
                <w:rFonts w:ascii="Times New Roman" w:hAnsi="Times New Roman"/>
                <w:color w:val="auto"/>
                <w:sz w:val="24"/>
              </w:rPr>
            </w:pPr>
            <w:r>
              <w:rPr>
                <w:rFonts w:ascii="Times New Roman" w:hAnsi="Times New Roman"/>
                <w:color w:val="auto"/>
                <w:sz w:val="24"/>
              </w:rPr>
              <w:t>4</w:t>
            </w:r>
          </w:p>
        </w:tc>
        <w:tc>
          <w:tcPr>
            <w:tcW w:w="5102" w:type="dxa"/>
            <w:vAlign w:val="center"/>
          </w:tcPr>
          <w:p w14:paraId="1E206E61">
            <w:pPr>
              <w:adjustRightInd w:val="0"/>
              <w:snapToGrid w:val="0"/>
              <w:rPr>
                <w:rFonts w:ascii="Times New Roman" w:hAnsi="Times New Roman" w:eastAsia="宋体"/>
                <w:color w:val="auto"/>
                <w:sz w:val="24"/>
              </w:rPr>
            </w:pPr>
            <w:r>
              <w:rPr>
                <w:rFonts w:ascii="Times New Roman" w:hAnsi="Times New Roman" w:eastAsia="宋体"/>
                <w:color w:val="auto"/>
                <w:sz w:val="24"/>
              </w:rPr>
              <w:t>服务业增加值增长（%）</w:t>
            </w:r>
          </w:p>
        </w:tc>
        <w:tc>
          <w:tcPr>
            <w:tcW w:w="3232" w:type="dxa"/>
            <w:vAlign w:val="center"/>
          </w:tcPr>
          <w:p w14:paraId="33FC6F45">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5.5</w:t>
            </w:r>
          </w:p>
        </w:tc>
      </w:tr>
      <w:tr w14:paraId="0261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dxa"/>
            <w:vAlign w:val="center"/>
          </w:tcPr>
          <w:p w14:paraId="6E197B0D">
            <w:pPr>
              <w:adjustRightInd w:val="0"/>
              <w:snapToGrid w:val="0"/>
              <w:jc w:val="center"/>
              <w:rPr>
                <w:rFonts w:ascii="Times New Roman" w:hAnsi="Times New Roman"/>
                <w:color w:val="auto"/>
                <w:sz w:val="24"/>
              </w:rPr>
            </w:pPr>
            <w:r>
              <w:rPr>
                <w:rFonts w:ascii="Times New Roman" w:hAnsi="Times New Roman"/>
                <w:color w:val="auto"/>
                <w:sz w:val="24"/>
              </w:rPr>
              <w:t>5</w:t>
            </w:r>
          </w:p>
        </w:tc>
        <w:tc>
          <w:tcPr>
            <w:tcW w:w="5102" w:type="dxa"/>
            <w:vAlign w:val="center"/>
          </w:tcPr>
          <w:p w14:paraId="4C0CF9B2">
            <w:pPr>
              <w:adjustRightInd w:val="0"/>
              <w:snapToGrid w:val="0"/>
              <w:rPr>
                <w:rFonts w:ascii="Times New Roman" w:hAnsi="Times New Roman" w:eastAsia="宋体"/>
                <w:color w:val="auto"/>
                <w:sz w:val="24"/>
              </w:rPr>
            </w:pPr>
            <w:r>
              <w:rPr>
                <w:rFonts w:ascii="Times New Roman" w:hAnsi="Times New Roman" w:eastAsia="宋体"/>
                <w:color w:val="auto"/>
                <w:sz w:val="24"/>
              </w:rPr>
              <w:t>固定资产投资增长（%）</w:t>
            </w:r>
          </w:p>
        </w:tc>
        <w:tc>
          <w:tcPr>
            <w:tcW w:w="3232" w:type="dxa"/>
            <w:vAlign w:val="center"/>
          </w:tcPr>
          <w:p w14:paraId="4283E084">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实现正增长</w:t>
            </w:r>
          </w:p>
        </w:tc>
      </w:tr>
      <w:tr w14:paraId="0600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dxa"/>
            <w:vAlign w:val="center"/>
          </w:tcPr>
          <w:p w14:paraId="555EA3D4">
            <w:pPr>
              <w:adjustRightInd w:val="0"/>
              <w:snapToGrid w:val="0"/>
              <w:jc w:val="center"/>
              <w:rPr>
                <w:rFonts w:ascii="Times New Roman" w:hAnsi="Times New Roman"/>
                <w:color w:val="auto"/>
                <w:sz w:val="24"/>
              </w:rPr>
            </w:pPr>
            <w:r>
              <w:rPr>
                <w:rFonts w:ascii="Times New Roman" w:hAnsi="Times New Roman"/>
                <w:color w:val="auto"/>
                <w:sz w:val="24"/>
              </w:rPr>
              <w:t>6</w:t>
            </w:r>
          </w:p>
        </w:tc>
        <w:tc>
          <w:tcPr>
            <w:tcW w:w="5102" w:type="dxa"/>
            <w:vAlign w:val="center"/>
          </w:tcPr>
          <w:p w14:paraId="60A52E52">
            <w:pPr>
              <w:adjustRightInd w:val="0"/>
              <w:snapToGrid w:val="0"/>
              <w:rPr>
                <w:rFonts w:ascii="Times New Roman" w:hAnsi="Times New Roman" w:eastAsia="宋体"/>
                <w:color w:val="auto"/>
                <w:sz w:val="24"/>
              </w:rPr>
            </w:pPr>
            <w:r>
              <w:rPr>
                <w:rFonts w:ascii="Times New Roman" w:hAnsi="Times New Roman" w:eastAsia="宋体"/>
                <w:color w:val="auto"/>
                <w:sz w:val="24"/>
              </w:rPr>
              <w:t>高技术产业投资增长（%）▲</w:t>
            </w:r>
          </w:p>
        </w:tc>
        <w:tc>
          <w:tcPr>
            <w:tcW w:w="3232" w:type="dxa"/>
            <w:vAlign w:val="center"/>
          </w:tcPr>
          <w:p w14:paraId="6D8A99E2">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3</w:t>
            </w:r>
          </w:p>
        </w:tc>
      </w:tr>
      <w:tr w14:paraId="24E1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dxa"/>
            <w:vAlign w:val="center"/>
          </w:tcPr>
          <w:p w14:paraId="5EBB9065">
            <w:pPr>
              <w:adjustRightInd w:val="0"/>
              <w:snapToGrid w:val="0"/>
              <w:jc w:val="center"/>
              <w:rPr>
                <w:rFonts w:ascii="Times New Roman" w:hAnsi="Times New Roman"/>
                <w:color w:val="auto"/>
                <w:sz w:val="24"/>
              </w:rPr>
            </w:pPr>
            <w:r>
              <w:rPr>
                <w:rFonts w:ascii="Times New Roman" w:hAnsi="Times New Roman"/>
                <w:color w:val="auto"/>
                <w:sz w:val="24"/>
              </w:rPr>
              <w:t>7</w:t>
            </w:r>
          </w:p>
        </w:tc>
        <w:tc>
          <w:tcPr>
            <w:tcW w:w="5102" w:type="dxa"/>
            <w:vAlign w:val="center"/>
          </w:tcPr>
          <w:p w14:paraId="5B4FA35A">
            <w:pPr>
              <w:adjustRightInd w:val="0"/>
              <w:snapToGrid w:val="0"/>
              <w:rPr>
                <w:rFonts w:ascii="Times New Roman" w:hAnsi="Times New Roman" w:eastAsia="宋体"/>
                <w:color w:val="auto"/>
                <w:sz w:val="24"/>
              </w:rPr>
            </w:pPr>
            <w:r>
              <w:rPr>
                <w:rFonts w:ascii="Times New Roman" w:hAnsi="Times New Roman" w:eastAsia="宋体"/>
                <w:color w:val="auto"/>
                <w:sz w:val="24"/>
              </w:rPr>
              <w:t>社会消费品零售总额增长（%）</w:t>
            </w:r>
          </w:p>
        </w:tc>
        <w:tc>
          <w:tcPr>
            <w:tcW w:w="3232" w:type="dxa"/>
            <w:vAlign w:val="center"/>
          </w:tcPr>
          <w:p w14:paraId="393699C5">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4.5以上</w:t>
            </w:r>
          </w:p>
        </w:tc>
      </w:tr>
      <w:tr w14:paraId="0F7D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dxa"/>
            <w:vAlign w:val="center"/>
          </w:tcPr>
          <w:p w14:paraId="406A0223">
            <w:pPr>
              <w:adjustRightInd w:val="0"/>
              <w:snapToGrid w:val="0"/>
              <w:jc w:val="center"/>
              <w:rPr>
                <w:rFonts w:ascii="Times New Roman" w:hAnsi="Times New Roman"/>
                <w:color w:val="auto"/>
                <w:sz w:val="24"/>
              </w:rPr>
            </w:pPr>
            <w:r>
              <w:rPr>
                <w:rFonts w:ascii="Times New Roman" w:hAnsi="Times New Roman"/>
                <w:color w:val="auto"/>
                <w:sz w:val="24"/>
              </w:rPr>
              <w:t>8</w:t>
            </w:r>
          </w:p>
        </w:tc>
        <w:tc>
          <w:tcPr>
            <w:tcW w:w="5102" w:type="dxa"/>
            <w:vAlign w:val="center"/>
          </w:tcPr>
          <w:p w14:paraId="6074461D">
            <w:pPr>
              <w:adjustRightInd w:val="0"/>
              <w:snapToGrid w:val="0"/>
              <w:rPr>
                <w:rFonts w:ascii="Times New Roman" w:hAnsi="Times New Roman" w:eastAsia="宋体"/>
                <w:color w:val="auto"/>
                <w:sz w:val="24"/>
              </w:rPr>
            </w:pPr>
            <w:r>
              <w:rPr>
                <w:rFonts w:ascii="Times New Roman" w:hAnsi="Times New Roman" w:eastAsia="宋体"/>
                <w:color w:val="auto"/>
                <w:sz w:val="24"/>
              </w:rPr>
              <w:t>进出口总额增长（%）</w:t>
            </w:r>
          </w:p>
        </w:tc>
        <w:tc>
          <w:tcPr>
            <w:tcW w:w="3232" w:type="dxa"/>
            <w:vAlign w:val="center"/>
          </w:tcPr>
          <w:p w14:paraId="18A71510">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3</w:t>
            </w:r>
          </w:p>
        </w:tc>
      </w:tr>
      <w:tr w14:paraId="3ECC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dxa"/>
            <w:vAlign w:val="center"/>
          </w:tcPr>
          <w:p w14:paraId="23007A0F">
            <w:pPr>
              <w:adjustRightInd w:val="0"/>
              <w:snapToGrid w:val="0"/>
              <w:jc w:val="center"/>
              <w:rPr>
                <w:rFonts w:ascii="Times New Roman" w:hAnsi="Times New Roman"/>
                <w:color w:val="auto"/>
                <w:sz w:val="24"/>
              </w:rPr>
            </w:pPr>
            <w:r>
              <w:rPr>
                <w:rFonts w:ascii="Times New Roman" w:hAnsi="Times New Roman"/>
                <w:color w:val="auto"/>
                <w:sz w:val="24"/>
              </w:rPr>
              <w:t>9</w:t>
            </w:r>
          </w:p>
        </w:tc>
        <w:tc>
          <w:tcPr>
            <w:tcW w:w="5102" w:type="dxa"/>
            <w:vAlign w:val="center"/>
          </w:tcPr>
          <w:p w14:paraId="79684278">
            <w:pPr>
              <w:adjustRightInd w:val="0"/>
              <w:snapToGrid w:val="0"/>
              <w:rPr>
                <w:rFonts w:ascii="Times New Roman" w:hAnsi="Times New Roman" w:eastAsia="宋体"/>
                <w:color w:val="auto"/>
                <w:sz w:val="24"/>
              </w:rPr>
            </w:pPr>
            <w:r>
              <w:rPr>
                <w:rFonts w:ascii="Times New Roman" w:hAnsi="Times New Roman" w:eastAsia="宋体"/>
                <w:color w:val="auto"/>
                <w:sz w:val="24"/>
              </w:rPr>
              <w:t>地方一般公共预算收入增长（%）</w:t>
            </w:r>
          </w:p>
        </w:tc>
        <w:tc>
          <w:tcPr>
            <w:tcW w:w="3232" w:type="dxa"/>
            <w:vAlign w:val="center"/>
          </w:tcPr>
          <w:p w14:paraId="431583A7">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1.5左右</w:t>
            </w:r>
          </w:p>
        </w:tc>
      </w:tr>
      <w:tr w14:paraId="1C67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dxa"/>
            <w:vAlign w:val="center"/>
          </w:tcPr>
          <w:p w14:paraId="18DBEF4C">
            <w:pPr>
              <w:adjustRightInd w:val="0"/>
              <w:snapToGrid w:val="0"/>
              <w:jc w:val="center"/>
              <w:rPr>
                <w:rFonts w:ascii="Times New Roman" w:hAnsi="Times New Roman"/>
                <w:color w:val="auto"/>
                <w:sz w:val="24"/>
              </w:rPr>
            </w:pPr>
            <w:r>
              <w:rPr>
                <w:rFonts w:ascii="Times New Roman" w:hAnsi="Times New Roman"/>
                <w:color w:val="auto"/>
                <w:sz w:val="24"/>
              </w:rPr>
              <w:t>10</w:t>
            </w:r>
          </w:p>
        </w:tc>
        <w:tc>
          <w:tcPr>
            <w:tcW w:w="5102" w:type="dxa"/>
            <w:vAlign w:val="center"/>
          </w:tcPr>
          <w:p w14:paraId="3DB934D2">
            <w:pPr>
              <w:adjustRightInd w:val="0"/>
              <w:snapToGrid w:val="0"/>
              <w:rPr>
                <w:rFonts w:ascii="Times New Roman" w:hAnsi="Times New Roman" w:eastAsia="宋体"/>
                <w:color w:val="auto"/>
                <w:sz w:val="24"/>
              </w:rPr>
            </w:pPr>
            <w:r>
              <w:rPr>
                <w:rFonts w:ascii="Times New Roman" w:hAnsi="Times New Roman" w:eastAsia="宋体"/>
                <w:color w:val="auto"/>
                <w:sz w:val="24"/>
              </w:rPr>
              <w:t>常住人口城镇化率（%）</w:t>
            </w:r>
          </w:p>
        </w:tc>
        <w:tc>
          <w:tcPr>
            <w:tcW w:w="3232" w:type="dxa"/>
            <w:vAlign w:val="center"/>
          </w:tcPr>
          <w:p w14:paraId="7A394FE7">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提高</w:t>
            </w:r>
            <w:r>
              <w:rPr>
                <w:rFonts w:ascii="Times New Roman" w:hAnsi="Times New Roman" w:eastAsia="宋体"/>
                <w:color w:val="auto"/>
                <w:w w:val="98"/>
                <w:sz w:val="24"/>
              </w:rPr>
              <w:t>0.9个百分点以上</w:t>
            </w:r>
          </w:p>
        </w:tc>
      </w:tr>
      <w:tr w14:paraId="2B5E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dxa"/>
            <w:vAlign w:val="center"/>
          </w:tcPr>
          <w:p w14:paraId="7B730627">
            <w:pPr>
              <w:adjustRightInd w:val="0"/>
              <w:snapToGrid w:val="0"/>
              <w:jc w:val="center"/>
              <w:rPr>
                <w:rFonts w:ascii="Times New Roman" w:hAnsi="Times New Roman"/>
                <w:color w:val="auto"/>
                <w:sz w:val="24"/>
              </w:rPr>
            </w:pPr>
            <w:r>
              <w:rPr>
                <w:rFonts w:ascii="Times New Roman" w:hAnsi="Times New Roman"/>
                <w:color w:val="auto"/>
                <w:sz w:val="24"/>
              </w:rPr>
              <w:t>11</w:t>
            </w:r>
          </w:p>
        </w:tc>
        <w:tc>
          <w:tcPr>
            <w:tcW w:w="5102" w:type="dxa"/>
            <w:vAlign w:val="center"/>
          </w:tcPr>
          <w:p w14:paraId="282D61DB">
            <w:pPr>
              <w:adjustRightInd w:val="0"/>
              <w:snapToGrid w:val="0"/>
              <w:rPr>
                <w:rFonts w:ascii="Times New Roman" w:hAnsi="Times New Roman" w:eastAsia="宋体"/>
                <w:color w:val="auto"/>
                <w:sz w:val="24"/>
              </w:rPr>
            </w:pPr>
            <w:r>
              <w:rPr>
                <w:rFonts w:ascii="Times New Roman" w:hAnsi="Times New Roman" w:eastAsia="宋体"/>
                <w:color w:val="auto"/>
                <w:sz w:val="24"/>
              </w:rPr>
              <w:t>研发经费投入增长（%）</w:t>
            </w:r>
          </w:p>
        </w:tc>
        <w:tc>
          <w:tcPr>
            <w:tcW w:w="3232" w:type="dxa"/>
            <w:vAlign w:val="center"/>
          </w:tcPr>
          <w:p w14:paraId="60B7FB43">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8以上</w:t>
            </w:r>
          </w:p>
        </w:tc>
      </w:tr>
      <w:tr w14:paraId="3545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dxa"/>
            <w:vAlign w:val="center"/>
          </w:tcPr>
          <w:p w14:paraId="69466079">
            <w:pPr>
              <w:adjustRightInd w:val="0"/>
              <w:snapToGrid w:val="0"/>
              <w:jc w:val="center"/>
              <w:rPr>
                <w:rFonts w:ascii="Times New Roman" w:hAnsi="Times New Roman"/>
                <w:color w:val="auto"/>
                <w:sz w:val="24"/>
              </w:rPr>
            </w:pPr>
            <w:r>
              <w:rPr>
                <w:rFonts w:ascii="Times New Roman" w:hAnsi="Times New Roman"/>
                <w:color w:val="auto"/>
                <w:sz w:val="24"/>
              </w:rPr>
              <w:t>12</w:t>
            </w:r>
          </w:p>
        </w:tc>
        <w:tc>
          <w:tcPr>
            <w:tcW w:w="5102" w:type="dxa"/>
            <w:vAlign w:val="center"/>
          </w:tcPr>
          <w:p w14:paraId="6400D9DA">
            <w:pPr>
              <w:adjustRightInd w:val="0"/>
              <w:snapToGrid w:val="0"/>
              <w:rPr>
                <w:rFonts w:ascii="Times New Roman" w:hAnsi="Times New Roman" w:eastAsia="宋体"/>
                <w:color w:val="auto"/>
                <w:sz w:val="24"/>
              </w:rPr>
            </w:pPr>
            <w:r>
              <w:rPr>
                <w:rFonts w:ascii="Times New Roman" w:hAnsi="Times New Roman" w:eastAsia="宋体"/>
                <w:color w:val="auto"/>
                <w:sz w:val="24"/>
              </w:rPr>
              <w:t>居民人均可支配收入增长（%）</w:t>
            </w:r>
          </w:p>
        </w:tc>
        <w:tc>
          <w:tcPr>
            <w:tcW w:w="3232" w:type="dxa"/>
            <w:vAlign w:val="center"/>
          </w:tcPr>
          <w:p w14:paraId="09167F18">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高于经济增速</w:t>
            </w:r>
          </w:p>
        </w:tc>
      </w:tr>
      <w:tr w14:paraId="361E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dxa"/>
            <w:vAlign w:val="center"/>
          </w:tcPr>
          <w:p w14:paraId="602DED6B">
            <w:pPr>
              <w:adjustRightInd w:val="0"/>
              <w:snapToGrid w:val="0"/>
              <w:jc w:val="center"/>
              <w:rPr>
                <w:rFonts w:ascii="Times New Roman" w:hAnsi="Times New Roman"/>
                <w:color w:val="auto"/>
                <w:sz w:val="24"/>
              </w:rPr>
            </w:pPr>
            <w:r>
              <w:rPr>
                <w:rFonts w:ascii="Times New Roman" w:hAnsi="Times New Roman"/>
                <w:color w:val="auto"/>
                <w:sz w:val="24"/>
              </w:rPr>
              <w:t>13</w:t>
            </w:r>
          </w:p>
        </w:tc>
        <w:tc>
          <w:tcPr>
            <w:tcW w:w="5102" w:type="dxa"/>
            <w:vAlign w:val="center"/>
          </w:tcPr>
          <w:p w14:paraId="72191CA0">
            <w:pPr>
              <w:adjustRightInd w:val="0"/>
              <w:snapToGrid w:val="0"/>
              <w:rPr>
                <w:rFonts w:ascii="Times New Roman" w:hAnsi="Times New Roman" w:eastAsia="宋体"/>
                <w:color w:val="auto"/>
                <w:sz w:val="24"/>
              </w:rPr>
            </w:pPr>
            <w:r>
              <w:rPr>
                <w:rFonts w:ascii="Times New Roman" w:hAnsi="Times New Roman" w:eastAsia="宋体"/>
                <w:color w:val="auto"/>
                <w:sz w:val="24"/>
              </w:rPr>
              <w:t>城镇新增就业（万人）</w:t>
            </w:r>
          </w:p>
        </w:tc>
        <w:tc>
          <w:tcPr>
            <w:tcW w:w="3232" w:type="dxa"/>
            <w:vAlign w:val="center"/>
          </w:tcPr>
          <w:p w14:paraId="67FD9AED">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70</w:t>
            </w:r>
          </w:p>
        </w:tc>
      </w:tr>
      <w:tr w14:paraId="277E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dxa"/>
            <w:vAlign w:val="center"/>
          </w:tcPr>
          <w:p w14:paraId="3402F278">
            <w:pPr>
              <w:adjustRightInd w:val="0"/>
              <w:snapToGrid w:val="0"/>
              <w:jc w:val="center"/>
              <w:rPr>
                <w:rFonts w:ascii="Times New Roman" w:hAnsi="Times New Roman"/>
                <w:color w:val="auto"/>
                <w:sz w:val="24"/>
              </w:rPr>
            </w:pPr>
            <w:r>
              <w:rPr>
                <w:rFonts w:ascii="Times New Roman" w:hAnsi="Times New Roman"/>
                <w:color w:val="auto"/>
                <w:sz w:val="24"/>
              </w:rPr>
              <w:t>14</w:t>
            </w:r>
          </w:p>
        </w:tc>
        <w:tc>
          <w:tcPr>
            <w:tcW w:w="5102" w:type="dxa"/>
            <w:vAlign w:val="center"/>
          </w:tcPr>
          <w:p w14:paraId="0BA80DE1">
            <w:pPr>
              <w:adjustRightInd w:val="0"/>
              <w:snapToGrid w:val="0"/>
              <w:rPr>
                <w:rFonts w:ascii="Times New Roman" w:hAnsi="Times New Roman" w:eastAsia="宋体"/>
                <w:color w:val="auto"/>
                <w:sz w:val="24"/>
              </w:rPr>
            </w:pPr>
            <w:r>
              <w:rPr>
                <w:rFonts w:ascii="Times New Roman" w:hAnsi="Times New Roman" w:eastAsia="宋体"/>
                <w:color w:val="auto"/>
                <w:sz w:val="24"/>
              </w:rPr>
              <w:t>城镇调查失业率（%）</w:t>
            </w:r>
          </w:p>
        </w:tc>
        <w:tc>
          <w:tcPr>
            <w:tcW w:w="3232" w:type="dxa"/>
            <w:vAlign w:val="center"/>
          </w:tcPr>
          <w:p w14:paraId="6A717CC5">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5.5左右</w:t>
            </w:r>
          </w:p>
        </w:tc>
      </w:tr>
      <w:tr w14:paraId="6157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dxa"/>
            <w:vAlign w:val="center"/>
          </w:tcPr>
          <w:p w14:paraId="025CAA66">
            <w:pPr>
              <w:adjustRightInd w:val="0"/>
              <w:snapToGrid w:val="0"/>
              <w:jc w:val="center"/>
              <w:rPr>
                <w:rFonts w:ascii="Times New Roman" w:hAnsi="Times New Roman"/>
                <w:color w:val="auto"/>
                <w:sz w:val="24"/>
              </w:rPr>
            </w:pPr>
            <w:r>
              <w:rPr>
                <w:rFonts w:ascii="Times New Roman" w:hAnsi="Times New Roman"/>
                <w:color w:val="auto"/>
                <w:sz w:val="24"/>
              </w:rPr>
              <w:t>15</w:t>
            </w:r>
          </w:p>
        </w:tc>
        <w:tc>
          <w:tcPr>
            <w:tcW w:w="5102" w:type="dxa"/>
            <w:vAlign w:val="center"/>
          </w:tcPr>
          <w:p w14:paraId="08ED86EE">
            <w:pPr>
              <w:adjustRightInd w:val="0"/>
              <w:snapToGrid w:val="0"/>
              <w:rPr>
                <w:rFonts w:ascii="Times New Roman" w:hAnsi="Times New Roman" w:eastAsia="宋体"/>
                <w:color w:val="auto"/>
                <w:sz w:val="24"/>
              </w:rPr>
            </w:pPr>
            <w:r>
              <w:rPr>
                <w:rFonts w:ascii="Times New Roman" w:hAnsi="Times New Roman" w:eastAsia="宋体"/>
                <w:color w:val="auto"/>
                <w:sz w:val="24"/>
              </w:rPr>
              <w:t>居民消费价格涨幅（%）</w:t>
            </w:r>
          </w:p>
        </w:tc>
        <w:tc>
          <w:tcPr>
            <w:tcW w:w="3232" w:type="dxa"/>
            <w:vAlign w:val="center"/>
          </w:tcPr>
          <w:p w14:paraId="08E66B11">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2左右</w:t>
            </w:r>
          </w:p>
        </w:tc>
      </w:tr>
      <w:tr w14:paraId="542F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dxa"/>
            <w:vAlign w:val="center"/>
          </w:tcPr>
          <w:p w14:paraId="4FE07A2C">
            <w:pPr>
              <w:adjustRightInd w:val="0"/>
              <w:snapToGrid w:val="0"/>
              <w:jc w:val="center"/>
              <w:rPr>
                <w:rFonts w:ascii="Times New Roman" w:hAnsi="Times New Roman"/>
                <w:color w:val="auto"/>
                <w:sz w:val="24"/>
              </w:rPr>
            </w:pPr>
            <w:r>
              <w:rPr>
                <w:rFonts w:ascii="Times New Roman" w:hAnsi="Times New Roman"/>
                <w:color w:val="auto"/>
                <w:sz w:val="24"/>
              </w:rPr>
              <w:t>16</w:t>
            </w:r>
          </w:p>
        </w:tc>
        <w:tc>
          <w:tcPr>
            <w:tcW w:w="5102" w:type="dxa"/>
            <w:vAlign w:val="center"/>
          </w:tcPr>
          <w:p w14:paraId="63FB72D3">
            <w:pPr>
              <w:adjustRightInd w:val="0"/>
              <w:snapToGrid w:val="0"/>
              <w:rPr>
                <w:rFonts w:ascii="Times New Roman" w:hAnsi="Times New Roman" w:eastAsia="宋体"/>
                <w:color w:val="auto"/>
                <w:sz w:val="24"/>
              </w:rPr>
            </w:pPr>
            <w:r>
              <w:rPr>
                <w:rFonts w:ascii="Times New Roman" w:hAnsi="Times New Roman" w:eastAsia="宋体"/>
                <w:color w:val="auto"/>
                <w:sz w:val="24"/>
              </w:rPr>
              <w:t>单位地区生产总值二氧化碳排放降低（%）▲</w:t>
            </w:r>
          </w:p>
        </w:tc>
        <w:tc>
          <w:tcPr>
            <w:tcW w:w="3232" w:type="dxa"/>
            <w:vMerge w:val="restart"/>
            <w:vAlign w:val="center"/>
          </w:tcPr>
          <w:p w14:paraId="42EEBA11">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按国家下达任务</w:t>
            </w:r>
          </w:p>
        </w:tc>
      </w:tr>
      <w:tr w14:paraId="4BC3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dxa"/>
            <w:vAlign w:val="center"/>
          </w:tcPr>
          <w:p w14:paraId="03E511C5">
            <w:pPr>
              <w:adjustRightInd w:val="0"/>
              <w:snapToGrid w:val="0"/>
              <w:jc w:val="center"/>
              <w:rPr>
                <w:rFonts w:ascii="Times New Roman" w:hAnsi="Times New Roman"/>
                <w:color w:val="auto"/>
                <w:sz w:val="24"/>
              </w:rPr>
            </w:pPr>
            <w:r>
              <w:rPr>
                <w:rFonts w:ascii="Times New Roman" w:hAnsi="Times New Roman"/>
                <w:color w:val="auto"/>
                <w:sz w:val="24"/>
              </w:rPr>
              <w:t>17</w:t>
            </w:r>
          </w:p>
        </w:tc>
        <w:tc>
          <w:tcPr>
            <w:tcW w:w="5102" w:type="dxa"/>
            <w:vAlign w:val="center"/>
          </w:tcPr>
          <w:p w14:paraId="2D8C7E79">
            <w:pPr>
              <w:adjustRightInd w:val="0"/>
              <w:snapToGrid w:val="0"/>
              <w:rPr>
                <w:rFonts w:ascii="Times New Roman" w:hAnsi="Times New Roman" w:eastAsia="宋体"/>
                <w:color w:val="auto"/>
                <w:sz w:val="24"/>
              </w:rPr>
            </w:pPr>
            <w:r>
              <w:rPr>
                <w:rFonts w:ascii="Times New Roman" w:hAnsi="Times New Roman" w:eastAsia="宋体"/>
                <w:color w:val="auto"/>
                <w:sz w:val="24"/>
              </w:rPr>
              <w:t>地级以上城市PM</w:t>
            </w:r>
            <w:r>
              <w:rPr>
                <w:rFonts w:ascii="Times New Roman" w:hAnsi="Times New Roman" w:eastAsia="宋体"/>
                <w:color w:val="auto"/>
                <w:sz w:val="24"/>
                <w:vertAlign w:val="subscript"/>
              </w:rPr>
              <w:t>2.5</w:t>
            </w:r>
            <w:r>
              <w:rPr>
                <w:rFonts w:ascii="Times New Roman" w:hAnsi="Times New Roman" w:eastAsia="宋体"/>
                <w:color w:val="auto"/>
                <w:sz w:val="24"/>
              </w:rPr>
              <w:t>浓度（微克/立方米）◆</w:t>
            </w:r>
          </w:p>
        </w:tc>
        <w:tc>
          <w:tcPr>
            <w:tcW w:w="3232" w:type="dxa"/>
            <w:vMerge w:val="continue"/>
            <w:vAlign w:val="center"/>
          </w:tcPr>
          <w:p w14:paraId="59C163EB">
            <w:pPr>
              <w:adjustRightInd w:val="0"/>
              <w:snapToGrid w:val="0"/>
              <w:jc w:val="center"/>
              <w:rPr>
                <w:rFonts w:ascii="Times New Roman" w:hAnsi="Times New Roman" w:eastAsia="宋体"/>
                <w:color w:val="auto"/>
                <w:sz w:val="24"/>
              </w:rPr>
            </w:pPr>
          </w:p>
        </w:tc>
      </w:tr>
      <w:tr w14:paraId="63A2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dxa"/>
            <w:vAlign w:val="center"/>
          </w:tcPr>
          <w:p w14:paraId="05DB21C7">
            <w:pPr>
              <w:adjustRightInd w:val="0"/>
              <w:snapToGrid w:val="0"/>
              <w:jc w:val="center"/>
              <w:rPr>
                <w:rFonts w:ascii="Times New Roman" w:hAnsi="Times New Roman"/>
                <w:color w:val="auto"/>
                <w:sz w:val="24"/>
              </w:rPr>
            </w:pPr>
            <w:r>
              <w:rPr>
                <w:rFonts w:ascii="Times New Roman" w:hAnsi="Times New Roman"/>
                <w:color w:val="auto"/>
                <w:sz w:val="24"/>
              </w:rPr>
              <w:t>18</w:t>
            </w:r>
          </w:p>
        </w:tc>
        <w:tc>
          <w:tcPr>
            <w:tcW w:w="5102" w:type="dxa"/>
            <w:vAlign w:val="center"/>
          </w:tcPr>
          <w:p w14:paraId="4DC819C3">
            <w:pPr>
              <w:adjustRightInd w:val="0"/>
              <w:snapToGrid w:val="0"/>
              <w:rPr>
                <w:rFonts w:ascii="Times New Roman" w:hAnsi="Times New Roman" w:eastAsia="宋体"/>
                <w:color w:val="auto"/>
                <w:sz w:val="24"/>
              </w:rPr>
            </w:pPr>
            <w:r>
              <w:rPr>
                <w:rFonts w:ascii="Times New Roman" w:hAnsi="Times New Roman" w:eastAsia="宋体"/>
                <w:color w:val="auto"/>
                <w:sz w:val="24"/>
              </w:rPr>
              <w:t>地表水优良水体比例（%）◆</w:t>
            </w:r>
          </w:p>
        </w:tc>
        <w:tc>
          <w:tcPr>
            <w:tcW w:w="3232" w:type="dxa"/>
            <w:vMerge w:val="continue"/>
            <w:vAlign w:val="center"/>
          </w:tcPr>
          <w:p w14:paraId="1C1B3420">
            <w:pPr>
              <w:adjustRightInd w:val="0"/>
              <w:snapToGrid w:val="0"/>
              <w:jc w:val="center"/>
              <w:rPr>
                <w:rFonts w:ascii="Times New Roman" w:hAnsi="Times New Roman" w:eastAsia="宋体"/>
                <w:color w:val="auto"/>
                <w:sz w:val="24"/>
              </w:rPr>
            </w:pPr>
          </w:p>
        </w:tc>
      </w:tr>
      <w:tr w14:paraId="43DF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dxa"/>
            <w:vAlign w:val="center"/>
          </w:tcPr>
          <w:p w14:paraId="0C1CFCA3">
            <w:pPr>
              <w:adjustRightInd w:val="0"/>
              <w:snapToGrid w:val="0"/>
              <w:jc w:val="center"/>
              <w:rPr>
                <w:rFonts w:ascii="Times New Roman" w:hAnsi="Times New Roman"/>
                <w:color w:val="auto"/>
                <w:sz w:val="24"/>
              </w:rPr>
            </w:pPr>
            <w:r>
              <w:rPr>
                <w:rFonts w:ascii="Times New Roman" w:hAnsi="Times New Roman"/>
                <w:color w:val="auto"/>
                <w:sz w:val="24"/>
              </w:rPr>
              <w:t>19</w:t>
            </w:r>
          </w:p>
        </w:tc>
        <w:tc>
          <w:tcPr>
            <w:tcW w:w="5102" w:type="dxa"/>
            <w:vAlign w:val="center"/>
          </w:tcPr>
          <w:p w14:paraId="593407AF">
            <w:pPr>
              <w:adjustRightInd w:val="0"/>
              <w:snapToGrid w:val="0"/>
              <w:rPr>
                <w:rFonts w:ascii="Times New Roman" w:hAnsi="Times New Roman" w:eastAsia="宋体"/>
                <w:color w:val="auto"/>
                <w:sz w:val="24"/>
              </w:rPr>
            </w:pPr>
            <w:r>
              <w:rPr>
                <w:rFonts w:ascii="Times New Roman" w:hAnsi="Times New Roman" w:eastAsia="宋体"/>
                <w:color w:val="auto"/>
                <w:sz w:val="24"/>
              </w:rPr>
              <w:t>粮食产量（亿斤）</w:t>
            </w:r>
          </w:p>
        </w:tc>
        <w:tc>
          <w:tcPr>
            <w:tcW w:w="3232" w:type="dxa"/>
            <w:vAlign w:val="center"/>
          </w:tcPr>
          <w:p w14:paraId="6E5D0B3C">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615左右</w:t>
            </w:r>
          </w:p>
        </w:tc>
      </w:tr>
      <w:tr w14:paraId="4232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dxa"/>
            <w:vAlign w:val="center"/>
          </w:tcPr>
          <w:p w14:paraId="550903F8">
            <w:pPr>
              <w:adjustRightInd w:val="0"/>
              <w:snapToGrid w:val="0"/>
              <w:jc w:val="center"/>
              <w:rPr>
                <w:rFonts w:ascii="Times New Roman" w:hAnsi="Times New Roman"/>
                <w:color w:val="auto"/>
                <w:sz w:val="24"/>
              </w:rPr>
            </w:pPr>
            <w:r>
              <w:rPr>
                <w:rFonts w:ascii="Times New Roman" w:hAnsi="Times New Roman"/>
                <w:color w:val="auto"/>
                <w:sz w:val="24"/>
              </w:rPr>
              <w:t>20</w:t>
            </w:r>
          </w:p>
        </w:tc>
        <w:tc>
          <w:tcPr>
            <w:tcW w:w="5102" w:type="dxa"/>
            <w:vAlign w:val="center"/>
          </w:tcPr>
          <w:p w14:paraId="4B4795E6">
            <w:pPr>
              <w:adjustRightInd w:val="0"/>
              <w:snapToGrid w:val="0"/>
              <w:rPr>
                <w:rFonts w:ascii="Times New Roman" w:hAnsi="Times New Roman" w:eastAsia="宋体"/>
                <w:color w:val="auto"/>
                <w:sz w:val="24"/>
              </w:rPr>
            </w:pPr>
            <w:r>
              <w:rPr>
                <w:rFonts w:ascii="Times New Roman" w:hAnsi="Times New Roman" w:eastAsia="宋体"/>
                <w:color w:val="auto"/>
                <w:sz w:val="24"/>
              </w:rPr>
              <w:t>生产安全事故死亡人数同比变化（%）▲</w:t>
            </w:r>
          </w:p>
        </w:tc>
        <w:tc>
          <w:tcPr>
            <w:tcW w:w="3232" w:type="dxa"/>
            <w:vAlign w:val="center"/>
          </w:tcPr>
          <w:p w14:paraId="0F71E224">
            <w:pPr>
              <w:adjustRightInd w:val="0"/>
              <w:snapToGrid w:val="0"/>
              <w:jc w:val="center"/>
              <w:rPr>
                <w:rFonts w:ascii="Times New Roman" w:hAnsi="Times New Roman" w:eastAsia="宋体"/>
                <w:color w:val="auto"/>
                <w:sz w:val="24"/>
              </w:rPr>
            </w:pPr>
            <w:r>
              <w:rPr>
                <w:rFonts w:ascii="Times New Roman" w:hAnsi="Times New Roman" w:eastAsia="宋体"/>
                <w:color w:val="auto"/>
                <w:sz w:val="24"/>
              </w:rPr>
              <w:t>持续下降</w:t>
            </w:r>
          </w:p>
        </w:tc>
      </w:tr>
    </w:tbl>
    <w:p w14:paraId="51FA1F88">
      <w:pPr>
        <w:pStyle w:val="10"/>
        <w:widowControl w:val="0"/>
        <w:spacing w:beforeLines="50"/>
        <w:rPr>
          <w:rFonts w:ascii="Times New Roman" w:hAnsi="Times New Roman" w:eastAsia="楷体"/>
        </w:rPr>
      </w:pPr>
      <w:r>
        <w:rPr>
          <w:rFonts w:ascii="Times New Roman" w:hAnsi="Times New Roman" w:eastAsia="楷体"/>
          <w:color w:val="auto"/>
          <w:sz w:val="24"/>
        </w:rPr>
        <w:t>注：标▲为新增指标，标</w:t>
      </w:r>
      <w:r>
        <w:rPr>
          <w:rFonts w:ascii="Times New Roman" w:hAnsi="Times New Roman"/>
          <w:color w:val="auto"/>
          <w:sz w:val="24"/>
        </w:rPr>
        <w:t>◆</w:t>
      </w:r>
      <w:r>
        <w:rPr>
          <w:rFonts w:ascii="Times New Roman" w:hAnsi="Times New Roman" w:eastAsia="楷体"/>
          <w:color w:val="auto"/>
          <w:sz w:val="24"/>
        </w:rPr>
        <w:t>为调整指标</w:t>
      </w:r>
      <w:r>
        <w:rPr>
          <w:rFonts w:hint="eastAsia" w:eastAsia="楷体"/>
          <w:color w:val="auto"/>
          <w:sz w:val="24"/>
        </w:rPr>
        <w:t>。</w:t>
      </w:r>
    </w:p>
    <w:p w14:paraId="29FE18FC">
      <w:pPr>
        <w:spacing w:line="240" w:lineRule="auto"/>
        <w:jc w:val="both"/>
        <w:rPr>
          <w:rFonts w:ascii="Times New Roman" w:hAnsi="Times New Roman"/>
          <w:sz w:val="44"/>
          <w:szCs w:val="44"/>
        </w:rPr>
      </w:pPr>
      <w:bookmarkStart w:id="0" w:name="_GoBack"/>
      <w:bookmarkEnd w:id="0"/>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5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imes New Roman”“">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书宋简体">
    <w:altName w:val="方正书宋_GBK"/>
    <w:panose1 w:val="03000509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1BEF2">
    <w:pPr>
      <w:pStyle w:val="10"/>
      <w:ind w:left="320" w:leftChars="100" w:right="320" w:rightChars="100"/>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3286CE">
                          <w:pPr>
                            <w:pStyle w:val="10"/>
                            <w:widowControl w:val="0"/>
                            <w:ind w:left="320" w:leftChars="100" w:right="320" w:rightChars="100"/>
                            <w:jc w:val="right"/>
                            <w:rPr>
                              <w:rFonts w:ascii="仿宋_GB2312" w:hAnsi="仿宋_GB2312" w:eastAsia="仿宋_GB2312" w:cs="仿宋_GB2312"/>
                            </w:rPr>
                          </w:pPr>
                          <w:r>
                            <w:rPr>
                              <w:rFonts w:hint="eastAsia" w:ascii="仿宋_GB2312" w:hAnsi="仿宋_GB2312" w:eastAsia="仿宋_GB2312" w:cs="仿宋_GB2312"/>
                              <w:sz w:val="28"/>
                              <w:szCs w:val="28"/>
                            </w:rPr>
                            <w:t xml:space="preserve">— </w:t>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  \* MERGEFORMAT </w:instrText>
                          </w:r>
                          <w:r>
                            <w:rPr>
                              <w:rFonts w:ascii="Times New Roman" w:hAnsi="Times New Roman" w:eastAsia="仿宋_GB2312"/>
                              <w:sz w:val="28"/>
                              <w:szCs w:val="28"/>
                            </w:rPr>
                            <w:fldChar w:fldCharType="separate"/>
                          </w:r>
                          <w:r>
                            <w:rPr>
                              <w:rFonts w:eastAsia="仿宋_GB2312"/>
                              <w:sz w:val="28"/>
                              <w:szCs w:val="28"/>
                            </w:rPr>
                            <w:t>6</w:t>
                          </w:r>
                          <w:r>
                            <w:rPr>
                              <w:rFonts w:ascii="Times New Roman" w:hAnsi="Times New Roman" w:eastAsia="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&#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C8HJo/1QEAALIDAAAOAAAAAAAAAAEAIAAAAB4B&#10;AABkcnMvZTJvRG9jLnhtbFBLBQYAAAAABgAGAFkBAABlBQAAAAA=&#10;">
              <v:fill on="f" focussize="0,0"/>
              <v:stroke on="f"/>
              <v:imagedata o:title=""/>
              <o:lock v:ext="edit" aspectratio="f"/>
              <v:textbox inset="0mm,0mm,0mm,0mm" style="mso-fit-shape-to-text:t;">
                <w:txbxContent>
                  <w:p w14:paraId="243286CE">
                    <w:pPr>
                      <w:pStyle w:val="10"/>
                      <w:widowControl w:val="0"/>
                      <w:ind w:left="320" w:leftChars="100" w:right="320" w:rightChars="100"/>
                      <w:jc w:val="right"/>
                      <w:rPr>
                        <w:rFonts w:ascii="仿宋_GB2312" w:hAnsi="仿宋_GB2312" w:eastAsia="仿宋_GB2312" w:cs="仿宋_GB2312"/>
                      </w:rPr>
                    </w:pPr>
                    <w:r>
                      <w:rPr>
                        <w:rFonts w:hint="eastAsia" w:ascii="仿宋_GB2312" w:hAnsi="仿宋_GB2312" w:eastAsia="仿宋_GB2312" w:cs="仿宋_GB2312"/>
                        <w:sz w:val="28"/>
                        <w:szCs w:val="28"/>
                      </w:rPr>
                      <w:t xml:space="preserve">— </w:t>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  \* MERGEFORMAT </w:instrText>
                    </w:r>
                    <w:r>
                      <w:rPr>
                        <w:rFonts w:ascii="Times New Roman" w:hAnsi="Times New Roman" w:eastAsia="仿宋_GB2312"/>
                        <w:sz w:val="28"/>
                        <w:szCs w:val="28"/>
                      </w:rPr>
                      <w:fldChar w:fldCharType="separate"/>
                    </w:r>
                    <w:r>
                      <w:rPr>
                        <w:rFonts w:eastAsia="仿宋_GB2312"/>
                        <w:sz w:val="28"/>
                        <w:szCs w:val="28"/>
                      </w:rPr>
                      <w:t>6</w:t>
                    </w:r>
                    <w:r>
                      <w:rPr>
                        <w:rFonts w:ascii="Times New Roman" w:hAnsi="Times New Roman" w:eastAsia="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314D0">
    <w:pPr>
      <w:pStyle w:val="10"/>
      <w:ind w:left="320" w:leftChars="100" w:right="320" w:rightChars="100"/>
      <w:jc w:val="both"/>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rFonts w:ascii="Times New Roman" w:hAnsi="Times New Roman"/>
        <w:sz w:val="28"/>
        <w:szCs w:val="28"/>
      </w:rPr>
      <w:t>1</w:t>
    </w:r>
    <w:r>
      <w:rPr>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67273">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2CA85A">
                          <w:pPr>
                            <w:pStyle w:val="10"/>
                            <w:rPr>
                              <w:rFonts w:ascii="Times New Roman" w:hAnsi="Times New Roman"/>
                              <w:sz w:val="32"/>
                            </w:rPr>
                          </w:pPr>
                          <w:r>
                            <w:rPr>
                              <w:rFonts w:ascii="Times New Roman" w:hAnsi="Times New Roman"/>
                              <w:sz w:val="32"/>
                            </w:rPr>
                            <w:fldChar w:fldCharType="begin"/>
                          </w:r>
                          <w:r>
                            <w:rPr>
                              <w:rFonts w:ascii="Times New Roman" w:hAnsi="Times New Roman"/>
                              <w:sz w:val="32"/>
                            </w:rPr>
                            <w:instrText xml:space="preserve"> PAGE  \* MERGEFORMAT </w:instrText>
                          </w:r>
                          <w:r>
                            <w:rPr>
                              <w:rFonts w:ascii="Times New Roman" w:hAnsi="Times New Roman"/>
                              <w:sz w:val="32"/>
                            </w:rPr>
                            <w:fldChar w:fldCharType="separate"/>
                          </w:r>
                          <w:r>
                            <w:rPr>
                              <w:rFonts w:ascii="Times New Roman" w:hAnsi="Times New Roman"/>
                              <w:sz w:val="32"/>
                            </w:rPr>
                            <w:t>15</w:t>
                          </w:r>
                          <w:r>
                            <w:rPr>
                              <w:rFonts w:ascii="Times New Roman" w:hAnsi="Times New Roman"/>
                              <w:sz w:val="32"/>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BWX8aH2wEAAMADAAAOAAAAAAAAAAEA&#10;IAAAAB4BAABkcnMvZTJvRG9jLnhtbFBLBQYAAAAABgAGAFkBAABrBQAAAAA=&#10;">
              <v:fill on="f" focussize="0,0"/>
              <v:stroke on="f"/>
              <v:imagedata o:title=""/>
              <o:lock v:ext="edit" aspectratio="f"/>
              <v:textbox inset="0mm,0mm,0mm,0mm" style="mso-fit-shape-to-text:t;">
                <w:txbxContent>
                  <w:p w14:paraId="372CA85A">
                    <w:pPr>
                      <w:pStyle w:val="10"/>
                      <w:rPr>
                        <w:rFonts w:ascii="Times New Roman" w:hAnsi="Times New Roman"/>
                        <w:sz w:val="32"/>
                      </w:rPr>
                    </w:pPr>
                    <w:r>
                      <w:rPr>
                        <w:rFonts w:ascii="Times New Roman" w:hAnsi="Times New Roman"/>
                        <w:sz w:val="32"/>
                      </w:rPr>
                      <w:fldChar w:fldCharType="begin"/>
                    </w:r>
                    <w:r>
                      <w:rPr>
                        <w:rFonts w:ascii="Times New Roman" w:hAnsi="Times New Roman"/>
                        <w:sz w:val="32"/>
                      </w:rPr>
                      <w:instrText xml:space="preserve"> PAGE  \* MERGEFORMAT </w:instrText>
                    </w:r>
                    <w:r>
                      <w:rPr>
                        <w:rFonts w:ascii="Times New Roman" w:hAnsi="Times New Roman"/>
                        <w:sz w:val="32"/>
                      </w:rPr>
                      <w:fldChar w:fldCharType="separate"/>
                    </w:r>
                    <w:r>
                      <w:rPr>
                        <w:rFonts w:ascii="Times New Roman" w:hAnsi="Times New Roman"/>
                        <w:sz w:val="32"/>
                      </w:rPr>
                      <w:t>15</w:t>
                    </w:r>
                    <w:r>
                      <w:rPr>
                        <w:rFonts w:ascii="Times New Roman" w:hAnsi="Times New Roman"/>
                        <w:sz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BBE2"/>
    <w:rsid w:val="00000493"/>
    <w:rsid w:val="000318E7"/>
    <w:rsid w:val="00033228"/>
    <w:rsid w:val="00067155"/>
    <w:rsid w:val="00084C0C"/>
    <w:rsid w:val="00090C59"/>
    <w:rsid w:val="0009212D"/>
    <w:rsid w:val="000B1F8F"/>
    <w:rsid w:val="000E6402"/>
    <w:rsid w:val="000F6F87"/>
    <w:rsid w:val="001349F0"/>
    <w:rsid w:val="0014251F"/>
    <w:rsid w:val="00144F5B"/>
    <w:rsid w:val="00196B82"/>
    <w:rsid w:val="001A3912"/>
    <w:rsid w:val="001B1B58"/>
    <w:rsid w:val="001C2462"/>
    <w:rsid w:val="002031CB"/>
    <w:rsid w:val="00234F40"/>
    <w:rsid w:val="002478BE"/>
    <w:rsid w:val="00257151"/>
    <w:rsid w:val="00294ECE"/>
    <w:rsid w:val="002A1D4C"/>
    <w:rsid w:val="002A1EE1"/>
    <w:rsid w:val="002A63F1"/>
    <w:rsid w:val="002A73E0"/>
    <w:rsid w:val="002D2754"/>
    <w:rsid w:val="002D5813"/>
    <w:rsid w:val="00314225"/>
    <w:rsid w:val="0031664F"/>
    <w:rsid w:val="00325510"/>
    <w:rsid w:val="00361482"/>
    <w:rsid w:val="003717C5"/>
    <w:rsid w:val="003B122F"/>
    <w:rsid w:val="003D0DF5"/>
    <w:rsid w:val="003D6B60"/>
    <w:rsid w:val="00423FB3"/>
    <w:rsid w:val="004334C2"/>
    <w:rsid w:val="0043498C"/>
    <w:rsid w:val="004512F0"/>
    <w:rsid w:val="004C24E2"/>
    <w:rsid w:val="004C3378"/>
    <w:rsid w:val="004C4C7F"/>
    <w:rsid w:val="004E7404"/>
    <w:rsid w:val="00505527"/>
    <w:rsid w:val="00505691"/>
    <w:rsid w:val="005100D9"/>
    <w:rsid w:val="00544528"/>
    <w:rsid w:val="00545787"/>
    <w:rsid w:val="00551FF2"/>
    <w:rsid w:val="0057603F"/>
    <w:rsid w:val="0057704C"/>
    <w:rsid w:val="005B44F2"/>
    <w:rsid w:val="005C6B95"/>
    <w:rsid w:val="005D3C97"/>
    <w:rsid w:val="005D4D6F"/>
    <w:rsid w:val="005E3D03"/>
    <w:rsid w:val="005E45BE"/>
    <w:rsid w:val="00602D8B"/>
    <w:rsid w:val="00610E5E"/>
    <w:rsid w:val="00613811"/>
    <w:rsid w:val="0062200D"/>
    <w:rsid w:val="00644FEC"/>
    <w:rsid w:val="006457BE"/>
    <w:rsid w:val="00645B8B"/>
    <w:rsid w:val="00647115"/>
    <w:rsid w:val="006976DD"/>
    <w:rsid w:val="006B329C"/>
    <w:rsid w:val="006B4E49"/>
    <w:rsid w:val="006B54A8"/>
    <w:rsid w:val="006B62FB"/>
    <w:rsid w:val="006D6635"/>
    <w:rsid w:val="006E6E19"/>
    <w:rsid w:val="00712739"/>
    <w:rsid w:val="00743CE2"/>
    <w:rsid w:val="00787336"/>
    <w:rsid w:val="007924F2"/>
    <w:rsid w:val="007C3071"/>
    <w:rsid w:val="007C588A"/>
    <w:rsid w:val="007E3413"/>
    <w:rsid w:val="007E38B0"/>
    <w:rsid w:val="008006EB"/>
    <w:rsid w:val="00810CCB"/>
    <w:rsid w:val="00813BFA"/>
    <w:rsid w:val="00846587"/>
    <w:rsid w:val="00861C21"/>
    <w:rsid w:val="00884921"/>
    <w:rsid w:val="008933AB"/>
    <w:rsid w:val="008C77A2"/>
    <w:rsid w:val="009018BC"/>
    <w:rsid w:val="009449F1"/>
    <w:rsid w:val="00951EF2"/>
    <w:rsid w:val="009562AB"/>
    <w:rsid w:val="00962273"/>
    <w:rsid w:val="00965D28"/>
    <w:rsid w:val="009A6CA1"/>
    <w:rsid w:val="009C4DB3"/>
    <w:rsid w:val="009C57BF"/>
    <w:rsid w:val="009F111B"/>
    <w:rsid w:val="009F2A16"/>
    <w:rsid w:val="009F2BD9"/>
    <w:rsid w:val="00A12F9D"/>
    <w:rsid w:val="00A14BB5"/>
    <w:rsid w:val="00A5092F"/>
    <w:rsid w:val="00A85E0B"/>
    <w:rsid w:val="00A86A5F"/>
    <w:rsid w:val="00A92195"/>
    <w:rsid w:val="00AC6442"/>
    <w:rsid w:val="00B219DA"/>
    <w:rsid w:val="00B23D30"/>
    <w:rsid w:val="00B531C2"/>
    <w:rsid w:val="00B53FA5"/>
    <w:rsid w:val="00B724F9"/>
    <w:rsid w:val="00B908A0"/>
    <w:rsid w:val="00BC246D"/>
    <w:rsid w:val="00BD7D2D"/>
    <w:rsid w:val="00BE4575"/>
    <w:rsid w:val="00BF2F7F"/>
    <w:rsid w:val="00C13655"/>
    <w:rsid w:val="00C233DD"/>
    <w:rsid w:val="00C40EA2"/>
    <w:rsid w:val="00C41488"/>
    <w:rsid w:val="00C631BE"/>
    <w:rsid w:val="00CB2C34"/>
    <w:rsid w:val="00CB633B"/>
    <w:rsid w:val="00D046D2"/>
    <w:rsid w:val="00D2487B"/>
    <w:rsid w:val="00D312BC"/>
    <w:rsid w:val="00D41ABE"/>
    <w:rsid w:val="00D4218F"/>
    <w:rsid w:val="00D46FBF"/>
    <w:rsid w:val="00D56343"/>
    <w:rsid w:val="00D66551"/>
    <w:rsid w:val="00D8241B"/>
    <w:rsid w:val="00D83E5E"/>
    <w:rsid w:val="00DD44E9"/>
    <w:rsid w:val="00E10DB5"/>
    <w:rsid w:val="00E177E4"/>
    <w:rsid w:val="00E31B1A"/>
    <w:rsid w:val="00E35671"/>
    <w:rsid w:val="00E5604E"/>
    <w:rsid w:val="00E600A4"/>
    <w:rsid w:val="00E70FE5"/>
    <w:rsid w:val="00E731EA"/>
    <w:rsid w:val="00E756C2"/>
    <w:rsid w:val="00EA6466"/>
    <w:rsid w:val="00EC5EC0"/>
    <w:rsid w:val="00EE7991"/>
    <w:rsid w:val="00EF799C"/>
    <w:rsid w:val="00F0525B"/>
    <w:rsid w:val="00F05F2B"/>
    <w:rsid w:val="00F21BF0"/>
    <w:rsid w:val="00F21EB1"/>
    <w:rsid w:val="00F2713E"/>
    <w:rsid w:val="00F4043C"/>
    <w:rsid w:val="00F46B7E"/>
    <w:rsid w:val="00F67651"/>
    <w:rsid w:val="00F70977"/>
    <w:rsid w:val="00FC7A06"/>
    <w:rsid w:val="00FD4FEF"/>
    <w:rsid w:val="00FD6AF7"/>
    <w:rsid w:val="00FF6B20"/>
    <w:rsid w:val="01B15B4D"/>
    <w:rsid w:val="01EF7F5D"/>
    <w:rsid w:val="025B3559"/>
    <w:rsid w:val="02EFB9FC"/>
    <w:rsid w:val="052B4CCF"/>
    <w:rsid w:val="07217FF4"/>
    <w:rsid w:val="0782344C"/>
    <w:rsid w:val="079351B4"/>
    <w:rsid w:val="07F37302"/>
    <w:rsid w:val="0CC06DF7"/>
    <w:rsid w:val="0E2A1BC1"/>
    <w:rsid w:val="0E3FB076"/>
    <w:rsid w:val="11021FDB"/>
    <w:rsid w:val="110475CA"/>
    <w:rsid w:val="1107547A"/>
    <w:rsid w:val="126E344F"/>
    <w:rsid w:val="12797FD5"/>
    <w:rsid w:val="1306594A"/>
    <w:rsid w:val="151825AD"/>
    <w:rsid w:val="153A5555"/>
    <w:rsid w:val="169F518F"/>
    <w:rsid w:val="16B709A9"/>
    <w:rsid w:val="17DDFAA4"/>
    <w:rsid w:val="17F5FB63"/>
    <w:rsid w:val="181373BF"/>
    <w:rsid w:val="19D556E8"/>
    <w:rsid w:val="1BFBB1A3"/>
    <w:rsid w:val="1DEE9A67"/>
    <w:rsid w:val="1E5034F7"/>
    <w:rsid w:val="1FF24910"/>
    <w:rsid w:val="1FFD16A3"/>
    <w:rsid w:val="1FFFF949"/>
    <w:rsid w:val="20091C6F"/>
    <w:rsid w:val="23AF308A"/>
    <w:rsid w:val="24555046"/>
    <w:rsid w:val="24854469"/>
    <w:rsid w:val="24C36A38"/>
    <w:rsid w:val="26076C2A"/>
    <w:rsid w:val="279D6C0C"/>
    <w:rsid w:val="27AA2204"/>
    <w:rsid w:val="29600856"/>
    <w:rsid w:val="29B53305"/>
    <w:rsid w:val="2AEFAC6E"/>
    <w:rsid w:val="2B1051BA"/>
    <w:rsid w:val="2CF4C194"/>
    <w:rsid w:val="2D122F01"/>
    <w:rsid w:val="2DDA661D"/>
    <w:rsid w:val="2E313517"/>
    <w:rsid w:val="2EBEEAEA"/>
    <w:rsid w:val="2ED651A0"/>
    <w:rsid w:val="2EEA519E"/>
    <w:rsid w:val="2F357A6C"/>
    <w:rsid w:val="2F5938AA"/>
    <w:rsid w:val="2FDB8944"/>
    <w:rsid w:val="2FFD91D0"/>
    <w:rsid w:val="319765C6"/>
    <w:rsid w:val="31B7140D"/>
    <w:rsid w:val="328C350C"/>
    <w:rsid w:val="32F77E16"/>
    <w:rsid w:val="337FA012"/>
    <w:rsid w:val="33B754E9"/>
    <w:rsid w:val="33FBD685"/>
    <w:rsid w:val="35FFA293"/>
    <w:rsid w:val="36474A62"/>
    <w:rsid w:val="36DFB403"/>
    <w:rsid w:val="36F37335"/>
    <w:rsid w:val="37235FDA"/>
    <w:rsid w:val="37E6B629"/>
    <w:rsid w:val="380D2365"/>
    <w:rsid w:val="3883477D"/>
    <w:rsid w:val="39B773B8"/>
    <w:rsid w:val="39DDEA69"/>
    <w:rsid w:val="39DFD989"/>
    <w:rsid w:val="39E924B5"/>
    <w:rsid w:val="3A23590D"/>
    <w:rsid w:val="3A490593"/>
    <w:rsid w:val="3A922C79"/>
    <w:rsid w:val="3AC71D0D"/>
    <w:rsid w:val="3AD43D2E"/>
    <w:rsid w:val="3AF7BE3C"/>
    <w:rsid w:val="3AFE0202"/>
    <w:rsid w:val="3B293089"/>
    <w:rsid w:val="3CDE6FFB"/>
    <w:rsid w:val="3D7B0865"/>
    <w:rsid w:val="3DBC9491"/>
    <w:rsid w:val="3DDFFD5A"/>
    <w:rsid w:val="3E8FC356"/>
    <w:rsid w:val="3EFE9A66"/>
    <w:rsid w:val="3EFF4BB1"/>
    <w:rsid w:val="3F3F3BCE"/>
    <w:rsid w:val="3F6C93DA"/>
    <w:rsid w:val="3F7F1C78"/>
    <w:rsid w:val="3FBD42B2"/>
    <w:rsid w:val="3FDBEC6D"/>
    <w:rsid w:val="3FE7E0FE"/>
    <w:rsid w:val="3FF04D5F"/>
    <w:rsid w:val="3FFF8D02"/>
    <w:rsid w:val="40825255"/>
    <w:rsid w:val="44EA532F"/>
    <w:rsid w:val="45D25AD5"/>
    <w:rsid w:val="47273D2D"/>
    <w:rsid w:val="476C06F6"/>
    <w:rsid w:val="47CC5858"/>
    <w:rsid w:val="48A00EA8"/>
    <w:rsid w:val="49437147"/>
    <w:rsid w:val="49736F77"/>
    <w:rsid w:val="4AF955A5"/>
    <w:rsid w:val="4C854D2F"/>
    <w:rsid w:val="4DDFB840"/>
    <w:rsid w:val="4DFFEEFB"/>
    <w:rsid w:val="4E6D1F21"/>
    <w:rsid w:val="4F790B2D"/>
    <w:rsid w:val="4F7DF468"/>
    <w:rsid w:val="4FF3F324"/>
    <w:rsid w:val="4FF90EE3"/>
    <w:rsid w:val="4FF9F023"/>
    <w:rsid w:val="4FFD35D0"/>
    <w:rsid w:val="50C045A8"/>
    <w:rsid w:val="510056CE"/>
    <w:rsid w:val="51671904"/>
    <w:rsid w:val="51FB324F"/>
    <w:rsid w:val="51FD587D"/>
    <w:rsid w:val="53DBD184"/>
    <w:rsid w:val="545985EA"/>
    <w:rsid w:val="553E0F19"/>
    <w:rsid w:val="55B562BE"/>
    <w:rsid w:val="55FF4D0F"/>
    <w:rsid w:val="56606E02"/>
    <w:rsid w:val="573B136A"/>
    <w:rsid w:val="573BD7D0"/>
    <w:rsid w:val="577AD310"/>
    <w:rsid w:val="57872559"/>
    <w:rsid w:val="57ABB1D0"/>
    <w:rsid w:val="57CD0549"/>
    <w:rsid w:val="57DA42CE"/>
    <w:rsid w:val="57E7F241"/>
    <w:rsid w:val="58CA5830"/>
    <w:rsid w:val="59BB8323"/>
    <w:rsid w:val="5A6D217B"/>
    <w:rsid w:val="5BF7861C"/>
    <w:rsid w:val="5C400BD1"/>
    <w:rsid w:val="5CAA3EA2"/>
    <w:rsid w:val="5D39F800"/>
    <w:rsid w:val="5D3C2EDA"/>
    <w:rsid w:val="5E70527F"/>
    <w:rsid w:val="5E76DD5A"/>
    <w:rsid w:val="5E99B6EF"/>
    <w:rsid w:val="5EBF79C1"/>
    <w:rsid w:val="5F157F00"/>
    <w:rsid w:val="5F5ECBC8"/>
    <w:rsid w:val="5F6D4B1A"/>
    <w:rsid w:val="5F7F27E7"/>
    <w:rsid w:val="5FBF3D24"/>
    <w:rsid w:val="5FC5FA54"/>
    <w:rsid w:val="5FFDC766"/>
    <w:rsid w:val="5FFDDA81"/>
    <w:rsid w:val="604D4D70"/>
    <w:rsid w:val="60B30D8A"/>
    <w:rsid w:val="636B88C4"/>
    <w:rsid w:val="63CBB0FF"/>
    <w:rsid w:val="63FEFC1E"/>
    <w:rsid w:val="64DD0EC5"/>
    <w:rsid w:val="65F244E6"/>
    <w:rsid w:val="666539E9"/>
    <w:rsid w:val="66DD7D9A"/>
    <w:rsid w:val="67FD9031"/>
    <w:rsid w:val="69B33D9B"/>
    <w:rsid w:val="6AB73A5A"/>
    <w:rsid w:val="6AFE85DC"/>
    <w:rsid w:val="6B0016D2"/>
    <w:rsid w:val="6BD88439"/>
    <w:rsid w:val="6C7C2F99"/>
    <w:rsid w:val="6CEC129F"/>
    <w:rsid w:val="6D2D5AFA"/>
    <w:rsid w:val="6D7F7D64"/>
    <w:rsid w:val="6DDB3A2E"/>
    <w:rsid w:val="6DDD0050"/>
    <w:rsid w:val="6DE908ED"/>
    <w:rsid w:val="6DF5F78F"/>
    <w:rsid w:val="6DF7E291"/>
    <w:rsid w:val="6DFAB9CF"/>
    <w:rsid w:val="6DFD6938"/>
    <w:rsid w:val="6EBED7A9"/>
    <w:rsid w:val="6EDB4463"/>
    <w:rsid w:val="6EFA251D"/>
    <w:rsid w:val="6EFDE55D"/>
    <w:rsid w:val="6F5F8D96"/>
    <w:rsid w:val="6F64D36E"/>
    <w:rsid w:val="6F7E70DF"/>
    <w:rsid w:val="6F9AFA39"/>
    <w:rsid w:val="6FA7161C"/>
    <w:rsid w:val="6FD71FB3"/>
    <w:rsid w:val="6FDF2638"/>
    <w:rsid w:val="6FE31410"/>
    <w:rsid w:val="6FED30C9"/>
    <w:rsid w:val="6FF7BE82"/>
    <w:rsid w:val="6FFF2603"/>
    <w:rsid w:val="6FFF5A50"/>
    <w:rsid w:val="6FFFA19A"/>
    <w:rsid w:val="71A165C4"/>
    <w:rsid w:val="729E0E83"/>
    <w:rsid w:val="72EB4FC2"/>
    <w:rsid w:val="72FDED79"/>
    <w:rsid w:val="737A93D1"/>
    <w:rsid w:val="737AC7C4"/>
    <w:rsid w:val="73B5BC0A"/>
    <w:rsid w:val="73B7FB7C"/>
    <w:rsid w:val="73BEBF65"/>
    <w:rsid w:val="73DB6981"/>
    <w:rsid w:val="74CB28C6"/>
    <w:rsid w:val="74DF2277"/>
    <w:rsid w:val="74FA1CE7"/>
    <w:rsid w:val="75030F6B"/>
    <w:rsid w:val="757181C5"/>
    <w:rsid w:val="759FE7BC"/>
    <w:rsid w:val="75DF9961"/>
    <w:rsid w:val="75F704B0"/>
    <w:rsid w:val="75FE12E7"/>
    <w:rsid w:val="75FE2A64"/>
    <w:rsid w:val="774D25F9"/>
    <w:rsid w:val="775E7535"/>
    <w:rsid w:val="776B19ED"/>
    <w:rsid w:val="776FAF28"/>
    <w:rsid w:val="777F7B8D"/>
    <w:rsid w:val="77CC44DC"/>
    <w:rsid w:val="77DE19D7"/>
    <w:rsid w:val="77EA40B6"/>
    <w:rsid w:val="77FE3436"/>
    <w:rsid w:val="77FF2823"/>
    <w:rsid w:val="78E49FAC"/>
    <w:rsid w:val="79266057"/>
    <w:rsid w:val="795F5EA9"/>
    <w:rsid w:val="7977B36A"/>
    <w:rsid w:val="79C638D9"/>
    <w:rsid w:val="79EED4E5"/>
    <w:rsid w:val="79FABD05"/>
    <w:rsid w:val="7A164415"/>
    <w:rsid w:val="7A7E9D24"/>
    <w:rsid w:val="7AF02F6F"/>
    <w:rsid w:val="7AFBF9C7"/>
    <w:rsid w:val="7B2D4F24"/>
    <w:rsid w:val="7B7EF32C"/>
    <w:rsid w:val="7B92A3EA"/>
    <w:rsid w:val="7BD7A836"/>
    <w:rsid w:val="7BDA4434"/>
    <w:rsid w:val="7BED5D96"/>
    <w:rsid w:val="7BFE112B"/>
    <w:rsid w:val="7BFFD4CB"/>
    <w:rsid w:val="7C131B75"/>
    <w:rsid w:val="7C313F72"/>
    <w:rsid w:val="7C5FD56B"/>
    <w:rsid w:val="7C621008"/>
    <w:rsid w:val="7C9D84B8"/>
    <w:rsid w:val="7CA54516"/>
    <w:rsid w:val="7CDA1F3B"/>
    <w:rsid w:val="7CDFDCF4"/>
    <w:rsid w:val="7CEF63ED"/>
    <w:rsid w:val="7CFAFCA5"/>
    <w:rsid w:val="7CFB67E9"/>
    <w:rsid w:val="7CFFA8BD"/>
    <w:rsid w:val="7D3C1A7C"/>
    <w:rsid w:val="7D5F3019"/>
    <w:rsid w:val="7D95C59D"/>
    <w:rsid w:val="7DB30B79"/>
    <w:rsid w:val="7DBA72F5"/>
    <w:rsid w:val="7DC653FD"/>
    <w:rsid w:val="7DD702FC"/>
    <w:rsid w:val="7DEF87E0"/>
    <w:rsid w:val="7DF77517"/>
    <w:rsid w:val="7DFF39AC"/>
    <w:rsid w:val="7E9C0575"/>
    <w:rsid w:val="7EF15C18"/>
    <w:rsid w:val="7EF32189"/>
    <w:rsid w:val="7EF379DD"/>
    <w:rsid w:val="7EF6D240"/>
    <w:rsid w:val="7EF7987D"/>
    <w:rsid w:val="7EFA6B6B"/>
    <w:rsid w:val="7EFB0CBF"/>
    <w:rsid w:val="7EFE5E0B"/>
    <w:rsid w:val="7EFF19D3"/>
    <w:rsid w:val="7F3E1DC3"/>
    <w:rsid w:val="7F4C54ED"/>
    <w:rsid w:val="7F709B62"/>
    <w:rsid w:val="7F762181"/>
    <w:rsid w:val="7F77E6D8"/>
    <w:rsid w:val="7F7B79BF"/>
    <w:rsid w:val="7F7E2B62"/>
    <w:rsid w:val="7F7ECF9F"/>
    <w:rsid w:val="7F93E342"/>
    <w:rsid w:val="7F9B02ED"/>
    <w:rsid w:val="7F9F5FB7"/>
    <w:rsid w:val="7F9F6545"/>
    <w:rsid w:val="7F9FBE7A"/>
    <w:rsid w:val="7FA9070F"/>
    <w:rsid w:val="7FAD5462"/>
    <w:rsid w:val="7FB2AC8A"/>
    <w:rsid w:val="7FBD6A1C"/>
    <w:rsid w:val="7FBE49E2"/>
    <w:rsid w:val="7FCF5909"/>
    <w:rsid w:val="7FDD77E3"/>
    <w:rsid w:val="7FDDA3CD"/>
    <w:rsid w:val="7FDEFD0D"/>
    <w:rsid w:val="7FDF1887"/>
    <w:rsid w:val="7FE53297"/>
    <w:rsid w:val="7FE71D59"/>
    <w:rsid w:val="7FE74009"/>
    <w:rsid w:val="7FE75E1B"/>
    <w:rsid w:val="7FEE8CC4"/>
    <w:rsid w:val="7FEF41B5"/>
    <w:rsid w:val="7FF6B180"/>
    <w:rsid w:val="7FF7A8B1"/>
    <w:rsid w:val="7FFB5096"/>
    <w:rsid w:val="7FFE2A80"/>
    <w:rsid w:val="7FFF5A62"/>
    <w:rsid w:val="7FFF79B4"/>
    <w:rsid w:val="7FFFAEBD"/>
    <w:rsid w:val="7FFFBBE2"/>
    <w:rsid w:val="7FFFDA0E"/>
    <w:rsid w:val="87E71E6C"/>
    <w:rsid w:val="8B5BA478"/>
    <w:rsid w:val="95E711BA"/>
    <w:rsid w:val="97BF6F62"/>
    <w:rsid w:val="97E879F0"/>
    <w:rsid w:val="98FD5CE1"/>
    <w:rsid w:val="9C6F9270"/>
    <w:rsid w:val="9D5E92C4"/>
    <w:rsid w:val="9DE9E43A"/>
    <w:rsid w:val="9EDC1B95"/>
    <w:rsid w:val="9FBF003A"/>
    <w:rsid w:val="9FD603F7"/>
    <w:rsid w:val="9FFBA51E"/>
    <w:rsid w:val="A46D5B28"/>
    <w:rsid w:val="A7FB6F76"/>
    <w:rsid w:val="AB5D21F8"/>
    <w:rsid w:val="AD79D28D"/>
    <w:rsid w:val="AFCF4EFC"/>
    <w:rsid w:val="B27EC4BA"/>
    <w:rsid w:val="B37FE4E4"/>
    <w:rsid w:val="B3B7564B"/>
    <w:rsid w:val="B55F75B9"/>
    <w:rsid w:val="B59ECAB3"/>
    <w:rsid w:val="B5F6EB35"/>
    <w:rsid w:val="B67D8AD6"/>
    <w:rsid w:val="B6B2CE58"/>
    <w:rsid w:val="B77C4659"/>
    <w:rsid w:val="B7FF4760"/>
    <w:rsid w:val="BA7D9D94"/>
    <w:rsid w:val="BAFBA78C"/>
    <w:rsid w:val="BBA136C1"/>
    <w:rsid w:val="BBFFAD21"/>
    <w:rsid w:val="BC17E9F6"/>
    <w:rsid w:val="BD7300D4"/>
    <w:rsid w:val="BDCFD1EF"/>
    <w:rsid w:val="BDE3702E"/>
    <w:rsid w:val="BDF6D479"/>
    <w:rsid w:val="BDFB931D"/>
    <w:rsid w:val="BE7022EF"/>
    <w:rsid w:val="BE7F40CC"/>
    <w:rsid w:val="BE96B2CC"/>
    <w:rsid w:val="BEDD986F"/>
    <w:rsid w:val="BEDE3878"/>
    <w:rsid w:val="BEDFC4F0"/>
    <w:rsid w:val="BEF6DC41"/>
    <w:rsid w:val="BEFEAD87"/>
    <w:rsid w:val="BEFFA757"/>
    <w:rsid w:val="BF6F595F"/>
    <w:rsid w:val="BF7BDCE0"/>
    <w:rsid w:val="BF7F8105"/>
    <w:rsid w:val="BFCC70CE"/>
    <w:rsid w:val="BFE68025"/>
    <w:rsid w:val="BFE7DAB3"/>
    <w:rsid w:val="BFEFFE75"/>
    <w:rsid w:val="BFF9E9EC"/>
    <w:rsid w:val="BFFA0757"/>
    <w:rsid w:val="BFFEFD6D"/>
    <w:rsid w:val="BFFF4CB8"/>
    <w:rsid w:val="C3EB8ADB"/>
    <w:rsid w:val="C6F789FD"/>
    <w:rsid w:val="C7FB42C5"/>
    <w:rsid w:val="CAF491C9"/>
    <w:rsid w:val="CF5FA792"/>
    <w:rsid w:val="CFAF4D21"/>
    <w:rsid w:val="D1FF51D6"/>
    <w:rsid w:val="D2377A32"/>
    <w:rsid w:val="D35F6222"/>
    <w:rsid w:val="D3FBD374"/>
    <w:rsid w:val="D57BDB36"/>
    <w:rsid w:val="D6E52E10"/>
    <w:rsid w:val="D7776C1F"/>
    <w:rsid w:val="D7DB2D07"/>
    <w:rsid w:val="D7DDED86"/>
    <w:rsid w:val="D7FA7830"/>
    <w:rsid w:val="D7FBA1C5"/>
    <w:rsid w:val="D7FE7FA7"/>
    <w:rsid w:val="D8FD61D7"/>
    <w:rsid w:val="D9BF2D3F"/>
    <w:rsid w:val="DBB991F7"/>
    <w:rsid w:val="DBCF186C"/>
    <w:rsid w:val="DD775DCD"/>
    <w:rsid w:val="DDAC81DF"/>
    <w:rsid w:val="DDFBEC58"/>
    <w:rsid w:val="DE1F7CF9"/>
    <w:rsid w:val="DE7767C6"/>
    <w:rsid w:val="DEEED209"/>
    <w:rsid w:val="DEFEAFA2"/>
    <w:rsid w:val="DF2D7869"/>
    <w:rsid w:val="DF2E9964"/>
    <w:rsid w:val="DF6E4C35"/>
    <w:rsid w:val="DF773526"/>
    <w:rsid w:val="DF7C9269"/>
    <w:rsid w:val="DF92715B"/>
    <w:rsid w:val="DFCF6D02"/>
    <w:rsid w:val="DFE671E1"/>
    <w:rsid w:val="DFFDC41C"/>
    <w:rsid w:val="DFFF61DB"/>
    <w:rsid w:val="DFFFB8CC"/>
    <w:rsid w:val="DFFFD4DE"/>
    <w:rsid w:val="E09F49FD"/>
    <w:rsid w:val="E3CF768A"/>
    <w:rsid w:val="E6DD9E87"/>
    <w:rsid w:val="E6E95F27"/>
    <w:rsid w:val="E7DFEA03"/>
    <w:rsid w:val="E9DFA3A5"/>
    <w:rsid w:val="E9F6B2D8"/>
    <w:rsid w:val="E9FF3B7D"/>
    <w:rsid w:val="EB1F88F6"/>
    <w:rsid w:val="EB5EB83F"/>
    <w:rsid w:val="EBBBA269"/>
    <w:rsid w:val="EBDD09A1"/>
    <w:rsid w:val="EBDFC376"/>
    <w:rsid w:val="EBF7A01D"/>
    <w:rsid w:val="EBFF4593"/>
    <w:rsid w:val="ECAC7512"/>
    <w:rsid w:val="EE3B0A6C"/>
    <w:rsid w:val="EE5E09CD"/>
    <w:rsid w:val="EE9922AA"/>
    <w:rsid w:val="EE9EB4CF"/>
    <w:rsid w:val="EEB731BB"/>
    <w:rsid w:val="EEBCD84F"/>
    <w:rsid w:val="EEED5EBD"/>
    <w:rsid w:val="EF695D81"/>
    <w:rsid w:val="EF8FECC9"/>
    <w:rsid w:val="EF9FAAB7"/>
    <w:rsid w:val="EFCF6CFF"/>
    <w:rsid w:val="EFEF2ED6"/>
    <w:rsid w:val="EFEF82B9"/>
    <w:rsid w:val="EFF55506"/>
    <w:rsid w:val="EFFB1409"/>
    <w:rsid w:val="EFFD3273"/>
    <w:rsid w:val="EFFFB7CD"/>
    <w:rsid w:val="F0FFD506"/>
    <w:rsid w:val="F1EF0EE2"/>
    <w:rsid w:val="F23ECB2F"/>
    <w:rsid w:val="F2FF000A"/>
    <w:rsid w:val="F2FF10E8"/>
    <w:rsid w:val="F33B0BE3"/>
    <w:rsid w:val="F3DD3ED2"/>
    <w:rsid w:val="F3ECEB8B"/>
    <w:rsid w:val="F67FAE25"/>
    <w:rsid w:val="F6BB69A6"/>
    <w:rsid w:val="F6D964B2"/>
    <w:rsid w:val="F6FB2BA6"/>
    <w:rsid w:val="F73F9DF7"/>
    <w:rsid w:val="F75F0360"/>
    <w:rsid w:val="F79786C5"/>
    <w:rsid w:val="F7BF0491"/>
    <w:rsid w:val="F7DE0789"/>
    <w:rsid w:val="F7ED2139"/>
    <w:rsid w:val="F7F57C4D"/>
    <w:rsid w:val="F7FD17B2"/>
    <w:rsid w:val="F7FECBA8"/>
    <w:rsid w:val="F8AD78B8"/>
    <w:rsid w:val="F8F67153"/>
    <w:rsid w:val="F98AA812"/>
    <w:rsid w:val="F9EF9A69"/>
    <w:rsid w:val="FA7DB380"/>
    <w:rsid w:val="FAED206E"/>
    <w:rsid w:val="FAFB7637"/>
    <w:rsid w:val="FB3F6FCA"/>
    <w:rsid w:val="FB75053C"/>
    <w:rsid w:val="FB7E9DAA"/>
    <w:rsid w:val="FB7F7F0D"/>
    <w:rsid w:val="FBB6C83C"/>
    <w:rsid w:val="FBCD136E"/>
    <w:rsid w:val="FBCFB79B"/>
    <w:rsid w:val="FBDFAD41"/>
    <w:rsid w:val="FD75299F"/>
    <w:rsid w:val="FDBF174C"/>
    <w:rsid w:val="FDFC77DD"/>
    <w:rsid w:val="FDFC8BD5"/>
    <w:rsid w:val="FDFDEDE5"/>
    <w:rsid w:val="FDFE445F"/>
    <w:rsid w:val="FDFF0A75"/>
    <w:rsid w:val="FDFFC4BA"/>
    <w:rsid w:val="FEBB03CA"/>
    <w:rsid w:val="FECEA0D1"/>
    <w:rsid w:val="FEF18E79"/>
    <w:rsid w:val="FEF7D7F1"/>
    <w:rsid w:val="FF1F80E6"/>
    <w:rsid w:val="FF6F2A51"/>
    <w:rsid w:val="FF7B1AB8"/>
    <w:rsid w:val="FF7FEA38"/>
    <w:rsid w:val="FF9FA3BC"/>
    <w:rsid w:val="FFAD70A7"/>
    <w:rsid w:val="FFBD08DF"/>
    <w:rsid w:val="FFBD8F2F"/>
    <w:rsid w:val="FFBDD3F2"/>
    <w:rsid w:val="FFBF3578"/>
    <w:rsid w:val="FFD7FFA0"/>
    <w:rsid w:val="FFDBD28B"/>
    <w:rsid w:val="FFDEF3A7"/>
    <w:rsid w:val="FFEB9852"/>
    <w:rsid w:val="FFEF4BAF"/>
    <w:rsid w:val="FFF1D3E2"/>
    <w:rsid w:val="FFF4F9CC"/>
    <w:rsid w:val="FFF5898F"/>
    <w:rsid w:val="FFF59716"/>
    <w:rsid w:val="FFF70B89"/>
    <w:rsid w:val="FFF7C2CD"/>
    <w:rsid w:val="FFFB86F5"/>
    <w:rsid w:val="FFFB9FF8"/>
    <w:rsid w:val="FFFCE594"/>
    <w:rsid w:val="FFFDBBD2"/>
    <w:rsid w:val="FFFE46AA"/>
    <w:rsid w:val="FFFFC0FA"/>
    <w:rsid w:val="FFFFD4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NEU-BZ" w:hAnsi="NEU-BZ" w:eastAsia="方正仿宋_GBK" w:cs="Times New Roman"/>
      <w:color w:val="000000"/>
      <w:sz w:val="32"/>
      <w:szCs w:val="32"/>
      <w:lang w:val="en-US" w:eastAsia="zh-CN"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index 5"/>
    <w:basedOn w:val="1"/>
    <w:next w:val="1"/>
    <w:qFormat/>
    <w:uiPriority w:val="0"/>
    <w:pPr>
      <w:ind w:left="1680"/>
    </w:pPr>
  </w:style>
  <w:style w:type="paragraph" w:styleId="6">
    <w:name w:val="Body Text"/>
    <w:basedOn w:val="1"/>
    <w:next w:val="7"/>
    <w:qFormat/>
    <w:uiPriority w:val="0"/>
    <w:pPr>
      <w:spacing w:after="120"/>
    </w:pPr>
  </w:style>
  <w:style w:type="paragraph" w:styleId="7">
    <w:name w:val="Body Text First Indent"/>
    <w:basedOn w:val="6"/>
    <w:unhideWhenUsed/>
    <w:qFormat/>
    <w:uiPriority w:val="99"/>
    <w:pPr>
      <w:ind w:firstLine="420" w:firstLineChars="100"/>
    </w:pPr>
  </w:style>
  <w:style w:type="paragraph" w:styleId="8">
    <w:name w:val="toc 3"/>
    <w:basedOn w:val="1"/>
    <w:next w:val="1"/>
    <w:qFormat/>
    <w:uiPriority w:val="39"/>
    <w:pPr>
      <w:widowControl w:val="0"/>
      <w:ind w:left="420"/>
    </w:pPr>
    <w:rPr>
      <w:rFonts w:ascii="Calibri" w:hAnsi="Calibri" w:eastAsia="宋体"/>
      <w:i/>
      <w:iCs/>
      <w:color w:val="auto"/>
      <w:kern w:val="2"/>
      <w:sz w:val="20"/>
      <w:szCs w:val="20"/>
    </w:rPr>
  </w:style>
  <w:style w:type="paragraph" w:styleId="9">
    <w:name w:val="Plain Text"/>
    <w:basedOn w:val="1"/>
    <w:qFormat/>
    <w:uiPriority w:val="0"/>
    <w:pPr>
      <w:jc w:val="both"/>
    </w:pPr>
    <w:rPr>
      <w:rFonts w:ascii="宋体" w:hAnsi="Courier New" w:eastAsia="宋体"/>
      <w:sz w:val="21"/>
      <w:szCs w:val="21"/>
    </w:rPr>
  </w:style>
  <w:style w:type="paragraph" w:styleId="10">
    <w:name w:val="footer"/>
    <w:basedOn w:val="1"/>
    <w:next w:val="5"/>
    <w:qFormat/>
    <w:uiPriority w:val="99"/>
    <w:pPr>
      <w:tabs>
        <w:tab w:val="center" w:pos="4153"/>
        <w:tab w:val="right" w:pos="8306"/>
      </w:tabs>
      <w:snapToGrid w:val="0"/>
    </w:pPr>
    <w:rPr>
      <w:sz w:val="18"/>
    </w:rPr>
  </w:style>
  <w:style w:type="paragraph" w:styleId="11">
    <w:name w:val="header"/>
    <w:basedOn w:val="1"/>
    <w:unhideWhenUsed/>
    <w:qFormat/>
    <w:uiPriority w:val="99"/>
    <w:pPr>
      <w:tabs>
        <w:tab w:val="center" w:pos="4153"/>
        <w:tab w:val="right" w:pos="8306"/>
      </w:tabs>
      <w:snapToGrid w:val="0"/>
      <w:jc w:val="center"/>
    </w:pPr>
    <w:rPr>
      <w:sz w:val="18"/>
      <w:szCs w:val="18"/>
    </w:rPr>
  </w:style>
  <w:style w:type="paragraph" w:styleId="12">
    <w:name w:val="footnote text"/>
    <w:basedOn w:val="1"/>
    <w:next w:val="1"/>
    <w:qFormat/>
    <w:uiPriority w:val="0"/>
    <w:pPr>
      <w:snapToGrid w:val="0"/>
    </w:pPr>
    <w:rPr>
      <w:rFonts w:ascii="Times New Roman" w:hAnsi="Times New Roman" w:eastAsia="宋体" w:cs="”“Times New Roman”“"/>
      <w:sz w:val="18"/>
      <w:szCs w:val="18"/>
    </w:rPr>
  </w:style>
  <w:style w:type="character" w:customStyle="1" w:styleId="15">
    <w:name w:val="NormalCharacter"/>
    <w:link w:val="16"/>
    <w:qFormat/>
    <w:uiPriority w:val="0"/>
    <w:rPr>
      <w:rFonts w:ascii="Verdana" w:hAnsi="Verdana" w:eastAsia="仿宋_GB2312" w:cs="Times New Roman"/>
      <w:kern w:val="0"/>
      <w:sz w:val="30"/>
      <w:szCs w:val="30"/>
      <w:lang w:val="en-US" w:eastAsia="en-US" w:bidi="ar-SA"/>
    </w:rPr>
  </w:style>
  <w:style w:type="paragraph" w:customStyle="1" w:styleId="16">
    <w:name w:val="UserStyle_4"/>
    <w:basedOn w:val="17"/>
    <w:next w:val="1"/>
    <w:link w:val="15"/>
    <w:qFormat/>
    <w:uiPriority w:val="0"/>
    <w:pPr>
      <w:widowControl/>
      <w:spacing w:after="160" w:line="240" w:lineRule="exact"/>
      <w:jc w:val="left"/>
      <w:textAlignment w:val="baseline"/>
    </w:pPr>
    <w:rPr>
      <w:rFonts w:ascii="Verdana" w:hAnsi="Verdana" w:eastAsia="仿宋_GB2312"/>
      <w:kern w:val="0"/>
      <w:sz w:val="30"/>
      <w:szCs w:val="30"/>
      <w:lang w:eastAsia="en-US"/>
    </w:rPr>
  </w:style>
  <w:style w:type="paragraph" w:customStyle="1" w:styleId="17">
    <w:name w:val="正文 New"/>
    <w:qFormat/>
    <w:uiPriority w:val="0"/>
    <w:pPr>
      <w:widowControl w:val="0"/>
      <w:spacing w:line="640" w:lineRule="exact"/>
      <w:ind w:firstLine="200" w:firstLineChars="200"/>
      <w:jc w:val="both"/>
    </w:pPr>
    <w:rPr>
      <w:rFonts w:ascii="Times New Roman" w:hAnsi="Times New Roman" w:eastAsia="仿宋" w:cs="Times New Roman"/>
      <w:kern w:val="2"/>
      <w:sz w:val="44"/>
      <w:szCs w:val="24"/>
      <w:lang w:val="en-US" w:eastAsia="zh-CN" w:bidi="ar-SA"/>
    </w:rPr>
  </w:style>
  <w:style w:type="paragraph" w:customStyle="1" w:styleId="18">
    <w:name w:val="正文 New New New New New New New New"/>
    <w:qFormat/>
    <w:uiPriority w:val="0"/>
    <w:pPr>
      <w:widowControl w:val="0"/>
      <w:jc w:val="both"/>
    </w:pPr>
    <w:rPr>
      <w:rFonts w:ascii="Calibri" w:hAnsi="Calibri" w:eastAsia="方正仿宋_GBK" w:cs="方正仿宋_GBK"/>
      <w:kern w:val="2"/>
      <w:sz w:val="44"/>
      <w:szCs w:val="44"/>
      <w:lang w:val="en-US" w:eastAsia="zh-CN" w:bidi="ar-SA"/>
    </w:rPr>
  </w:style>
  <w:style w:type="paragraph" w:customStyle="1" w:styleId="19">
    <w:name w:val="普通(网站)1"/>
    <w:basedOn w:val="20"/>
    <w:qFormat/>
    <w:uiPriority w:val="0"/>
    <w:pPr>
      <w:jc w:val="left"/>
    </w:pPr>
    <w:rPr>
      <w:kern w:val="0"/>
      <w:sz w:val="24"/>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黑体"/>
      <w:kern w:val="2"/>
      <w:sz w:val="21"/>
      <w:szCs w:val="24"/>
      <w:lang w:val="en-US" w:eastAsia="zh-CN" w:bidi="ar-SA"/>
    </w:rPr>
  </w:style>
  <w:style w:type="paragraph" w:customStyle="1" w:styleId="21">
    <w:name w:val="正文17号"/>
    <w:basedOn w:val="1"/>
    <w:qFormat/>
    <w:uiPriority w:val="0"/>
    <w:pPr>
      <w:ind w:firstLine="200" w:firstLineChars="200"/>
    </w:pPr>
    <w:rPr>
      <w:b/>
      <w:bCs/>
      <w:sz w:val="34"/>
      <w:szCs w:val="34"/>
    </w:rPr>
  </w:style>
  <w:style w:type="paragraph" w:customStyle="1" w:styleId="22">
    <w:name w:val="正文小二号"/>
    <w:basedOn w:val="23"/>
    <w:qFormat/>
    <w:uiPriority w:val="0"/>
    <w:pPr>
      <w:ind w:firstLine="200" w:firstLineChars="200"/>
    </w:pPr>
    <w:rPr>
      <w:rFonts w:ascii="Times New Roman" w:hAnsi="Times New Roman" w:eastAsia="方正仿宋_GBK"/>
      <w:sz w:val="36"/>
      <w:szCs w:val="36"/>
    </w:rPr>
  </w:style>
  <w:style w:type="paragraph" w:customStyle="1" w:styleId="23">
    <w:name w:val="[系统文字]"/>
    <w:qFormat/>
    <w:uiPriority w:val="0"/>
    <w:rPr>
      <w:rFonts w:ascii="NEU-BZ" w:hAnsi="NEU-BZ" w:eastAsia="方正书宋_GBK" w:cstheme="minorBidi"/>
      <w:sz w:val="21"/>
      <w:szCs w:val="21"/>
      <w:lang w:val="en-US" w:eastAsia="zh-CN" w:bidi="ar-SA"/>
    </w:rPr>
  </w:style>
  <w:style w:type="character" w:customStyle="1" w:styleId="24">
    <w:name w:val="小二号仿宋加粗5级"/>
    <w:qFormat/>
    <w:uiPriority w:val="0"/>
    <w:rPr>
      <w:rFonts w:hint="default" w:ascii="方正书宋简体" w:hAnsi="方正书宋简体" w:eastAsia="方正仿宋_GBK"/>
      <w:b/>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23EACE-B7D1-4A6C-9C06-61D9B940002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3001</Words>
  <Characters>3099</Characters>
  <Lines>56</Lines>
  <Paragraphs>15</Paragraphs>
  <TotalTime>361</TotalTime>
  <ScaleCrop>false</ScaleCrop>
  <LinksUpToDate>false</LinksUpToDate>
  <CharactersWithSpaces>3099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2026-02-06T16:28:00Z</dcterms:created>
  <dc:creator>huawei</dc:creator>
  <cp:lastModifiedBy>政务中心</cp:lastModifiedBy>
  <cp:lastPrinted>2026-02-07T02:03:00Z</cp:lastPrinted>
  <dcterms:modified xsi:type="dcterms:W3CDTF">2026-03-13T01:15:45Z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eyJoZGlkIjoiYWIzZGZjZmY1MTI2ZjlhNTI0MDBhZjdhYTQ0MDQyMmYiLCJ1c2VySWQiOiIxNjk3MDc5NDkwIn0=</vt:lpwstr>
  </property>
  <property fmtid="{D5CDD505-2E9C-101B-9397-08002B2CF9AE}" pid="4" name="ICV">
    <vt:lpwstr>B25E31D319DA459BA1715A65899784D6_13</vt:lpwstr>
  </property>
</Properties>
</file>