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960" w:hangingChars="3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default" w:ascii="方正小标宋简体" w:eastAsia="方正小标宋简体"/>
          <w:sz w:val="44"/>
          <w:szCs w:val="44"/>
          <w:lang w:val="en-US" w:eastAsia="zh-CN"/>
        </w:rPr>
        <w:t>支持打造特色载体推动中小企业创新创业升级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专项资金项目绩效考核表</w:t>
      </w:r>
    </w:p>
    <w:bookmarkEnd w:id="0"/>
    <w:tbl>
      <w:tblPr>
        <w:tblStyle w:val="5"/>
        <w:tblpPr w:leftFromText="180" w:rightFromText="180" w:vertAnchor="page" w:horzAnchor="page" w:tblpX="758" w:tblpY="3902"/>
        <w:tblOverlap w:val="never"/>
        <w:tblW w:w="1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520"/>
        <w:gridCol w:w="4240"/>
        <w:gridCol w:w="1580"/>
        <w:gridCol w:w="1740"/>
        <w:gridCol w:w="1840"/>
        <w:gridCol w:w="1740"/>
        <w:gridCol w:w="1020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实施内容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投资总额 （万元）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102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106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104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105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60599"/>
    <w:rsid w:val="42D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2020-01-19T02:31:00Z</dcterms:created>
  <dc:creator>high</dc:creator>
  <cp:lastModifiedBy>high</cp:lastModifiedBy>
  <dcterms:modified xsi:type="dcterms:W3CDTF">2020-01-19T02:32:03Z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